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outlineLvl w:val="0"/>
        <w:rPr>
          <w:sz w:val="36"/>
          <w:szCs w:val="36"/>
        </w:rPr>
      </w:pPr>
      <w:r>
        <w:rPr>
          <w:rFonts w:hint="eastAsia"/>
          <w:sz w:val="36"/>
          <w:szCs w:val="36"/>
        </w:rPr>
        <w:t>中国结算TA系统支持</w:t>
      </w:r>
      <w:r>
        <w:rPr>
          <w:rFonts w:hint="eastAsia"/>
          <w:sz w:val="36"/>
          <w:szCs w:val="36"/>
          <w:lang w:eastAsia="zh-CN"/>
        </w:rPr>
        <w:t>管理人确认深证</w:t>
      </w:r>
      <w:r>
        <w:rPr>
          <w:rFonts w:hint="eastAsia"/>
          <w:sz w:val="36"/>
          <w:szCs w:val="36"/>
          <w:lang w:val="en-US" w:eastAsia="zh-CN"/>
        </w:rPr>
        <w:t>LOF（REITs）场内认购业务</w:t>
      </w:r>
      <w:r>
        <w:rPr>
          <w:sz w:val="36"/>
          <w:szCs w:val="36"/>
        </w:rPr>
        <w:t>技术</w:t>
      </w:r>
      <w:r>
        <w:rPr>
          <w:rFonts w:hint="eastAsia"/>
          <w:sz w:val="36"/>
          <w:szCs w:val="36"/>
        </w:rPr>
        <w:t>指引</w:t>
      </w:r>
    </w:p>
    <w:p>
      <w:pPr>
        <w:pStyle w:val="3"/>
        <w:numPr>
          <w:ilvl w:val="0"/>
          <w:numId w:val="1"/>
        </w:numPr>
        <w:outlineLvl w:val="0"/>
        <w:rPr>
          <w:rFonts w:ascii="Cambria" w:hAnsi="Cambria" w:eastAsia="楷体_GB2312"/>
          <w:color w:val="4F81BD"/>
          <w:sz w:val="26"/>
          <w:szCs w:val="26"/>
        </w:rPr>
      </w:pPr>
      <w:r>
        <w:rPr>
          <w:rFonts w:hint="eastAsia" w:ascii="Cambria" w:hAnsi="Cambria" w:eastAsia="楷体_GB2312"/>
          <w:color w:val="4F81BD"/>
          <w:sz w:val="26"/>
          <w:szCs w:val="26"/>
        </w:rPr>
        <w:t>业务背景</w:t>
      </w:r>
    </w:p>
    <w:p>
      <w:pPr>
        <w:autoSpaceDE w:val="0"/>
        <w:autoSpaceDN w:val="0"/>
        <w:adjustRightInd w:val="0"/>
        <w:spacing w:line="360" w:lineRule="auto"/>
        <w:ind w:firstLine="480" w:firstLineChars="200"/>
        <w:jc w:val="left"/>
        <w:rPr>
          <w:rFonts w:hint="eastAsia" w:ascii="宋体" w:hAnsi="宋体" w:eastAsia="楷体_GB2312" w:cs="仿宋_GB2312"/>
          <w:kern w:val="0"/>
          <w:sz w:val="24"/>
          <w:szCs w:val="24"/>
          <w:lang w:eastAsia="zh-CN"/>
        </w:rPr>
      </w:pPr>
      <w:r>
        <w:rPr>
          <w:rFonts w:hint="eastAsia" w:ascii="宋体" w:hAnsi="宋体" w:eastAsia="楷体_GB2312" w:cs="仿宋_GB2312"/>
          <w:kern w:val="0"/>
          <w:sz w:val="24"/>
          <w:szCs w:val="24"/>
        </w:rPr>
        <w:t>为推动LOF</w:t>
      </w:r>
      <w:r>
        <w:rPr>
          <w:rFonts w:hint="eastAsia" w:ascii="宋体" w:hAnsi="宋体" w:eastAsia="楷体_GB2312" w:cs="仿宋_GB2312"/>
          <w:kern w:val="0"/>
          <w:sz w:val="24"/>
          <w:szCs w:val="24"/>
          <w:lang w:val="en-US" w:eastAsia="zh-CN"/>
        </w:rPr>
        <w:t>(REITs)</w:t>
      </w:r>
      <w:r>
        <w:rPr>
          <w:rFonts w:hint="eastAsia" w:ascii="宋体" w:hAnsi="宋体" w:eastAsia="楷体_GB2312" w:cs="仿宋_GB2312"/>
          <w:kern w:val="0"/>
          <w:sz w:val="24"/>
          <w:szCs w:val="24"/>
        </w:rPr>
        <w:t>产品创新，满足基金管理人业务需求，</w:t>
      </w:r>
      <w:r>
        <w:rPr>
          <w:rFonts w:hint="eastAsia" w:ascii="宋体" w:hAnsi="宋体" w:eastAsia="楷体_GB2312" w:cs="仿宋_GB2312"/>
          <w:kern w:val="0"/>
          <w:sz w:val="24"/>
          <w:szCs w:val="24"/>
          <w:lang w:eastAsia="zh-CN"/>
        </w:rPr>
        <w:t>中国结算</w:t>
      </w:r>
      <w:r>
        <w:rPr>
          <w:rFonts w:hint="eastAsia" w:ascii="宋体" w:hAnsi="宋体" w:eastAsia="楷体_GB2312" w:cs="仿宋_GB2312"/>
          <w:kern w:val="0"/>
          <w:sz w:val="24"/>
          <w:szCs w:val="24"/>
          <w:lang w:val="en-US" w:eastAsia="zh-CN"/>
        </w:rPr>
        <w:t>TA系统</w:t>
      </w:r>
      <w:r>
        <w:rPr>
          <w:rFonts w:hint="eastAsia" w:ascii="宋体" w:hAnsi="宋体" w:eastAsia="楷体_GB2312" w:cs="仿宋_GB2312"/>
          <w:kern w:val="0"/>
          <w:sz w:val="24"/>
          <w:szCs w:val="24"/>
          <w:lang w:eastAsia="zh-CN"/>
        </w:rPr>
        <w:t>新</w:t>
      </w:r>
      <w:r>
        <w:rPr>
          <w:rFonts w:hint="eastAsia" w:ascii="宋体" w:hAnsi="宋体" w:eastAsia="楷体_GB2312" w:cs="仿宋_GB2312"/>
          <w:kern w:val="0"/>
          <w:sz w:val="24"/>
          <w:szCs w:val="24"/>
        </w:rPr>
        <w:t>增管理人对深证</w:t>
      </w:r>
      <w:r>
        <w:rPr>
          <w:rFonts w:hint="eastAsia" w:ascii="宋体" w:hAnsi="宋体" w:eastAsia="楷体_GB2312" w:cs="仿宋_GB2312"/>
          <w:kern w:val="0"/>
          <w:sz w:val="24"/>
          <w:szCs w:val="24"/>
          <w:lang w:eastAsia="zh-CN"/>
        </w:rPr>
        <w:t>LOF（REITs）</w:t>
      </w:r>
      <w:r>
        <w:rPr>
          <w:rFonts w:hint="eastAsia" w:ascii="宋体" w:hAnsi="宋体" w:eastAsia="楷体_GB2312" w:cs="仿宋_GB2312"/>
          <w:kern w:val="0"/>
          <w:sz w:val="24"/>
          <w:szCs w:val="24"/>
        </w:rPr>
        <w:t>场内认购数据确认</w:t>
      </w:r>
      <w:r>
        <w:rPr>
          <w:rFonts w:hint="eastAsia" w:ascii="宋体" w:hAnsi="宋体" w:eastAsia="楷体_GB2312" w:cs="仿宋_GB2312"/>
          <w:kern w:val="0"/>
          <w:sz w:val="24"/>
          <w:szCs w:val="24"/>
          <w:lang w:eastAsia="zh-CN"/>
        </w:rPr>
        <w:t>功能。该功能支持管理人对深证</w:t>
      </w:r>
      <w:r>
        <w:rPr>
          <w:rFonts w:hint="eastAsia" w:ascii="宋体" w:hAnsi="宋体" w:eastAsia="楷体_GB2312" w:cs="仿宋_GB2312"/>
          <w:kern w:val="0"/>
          <w:sz w:val="24"/>
          <w:szCs w:val="24"/>
          <w:lang w:val="en-US" w:eastAsia="zh-CN"/>
        </w:rPr>
        <w:t>LOF</w:t>
      </w:r>
      <w:r>
        <w:rPr>
          <w:rFonts w:hint="eastAsia" w:ascii="宋体" w:hAnsi="宋体" w:eastAsia="楷体_GB2312" w:cs="仿宋_GB2312"/>
          <w:kern w:val="0"/>
          <w:sz w:val="24"/>
          <w:szCs w:val="24"/>
          <w:lang w:eastAsia="zh-CN"/>
        </w:rPr>
        <w:t>（REITs）</w:t>
      </w:r>
      <w:r>
        <w:rPr>
          <w:rFonts w:hint="eastAsia" w:ascii="宋体" w:hAnsi="宋体" w:eastAsia="楷体_GB2312" w:cs="仿宋_GB2312"/>
          <w:kern w:val="0"/>
          <w:sz w:val="24"/>
          <w:szCs w:val="24"/>
          <w:lang w:val="en-US" w:eastAsia="zh-CN"/>
        </w:rPr>
        <w:t>的认购份额进行干预，便利产品的发行</w:t>
      </w:r>
      <w:r>
        <w:rPr>
          <w:rFonts w:hint="eastAsia" w:ascii="宋体" w:hAnsi="宋体" w:eastAsia="楷体_GB2312" w:cs="仿宋_GB2312"/>
          <w:kern w:val="0"/>
          <w:sz w:val="24"/>
          <w:szCs w:val="24"/>
          <w:lang w:eastAsia="zh-CN"/>
        </w:rPr>
        <w:t>。</w:t>
      </w:r>
    </w:p>
    <w:p>
      <w:pPr>
        <w:pStyle w:val="3"/>
        <w:numPr>
          <w:ilvl w:val="0"/>
          <w:numId w:val="1"/>
        </w:numPr>
        <w:jc w:val="left"/>
        <w:outlineLvl w:val="9"/>
        <w:rPr>
          <w:rFonts w:ascii="楷体_GB2312" w:eastAsia="楷体_GB2312"/>
          <w:sz w:val="24"/>
          <w:szCs w:val="24"/>
        </w:rPr>
      </w:pPr>
      <w:r>
        <w:rPr>
          <w:rFonts w:hint="eastAsia" w:ascii="Cambria" w:hAnsi="Cambria" w:eastAsia="楷体_GB2312"/>
          <w:color w:val="4F81BD"/>
          <w:sz w:val="26"/>
          <w:szCs w:val="26"/>
        </w:rPr>
        <w:t>变动说明</w:t>
      </w:r>
    </w:p>
    <w:p>
      <w:pPr>
        <w:pStyle w:val="4"/>
        <w:numPr>
          <w:ilvl w:val="0"/>
          <w:numId w:val="2"/>
        </w:numPr>
        <w:ind w:left="425" w:hanging="425"/>
        <w:outlineLvl w:val="1"/>
        <w:rPr>
          <w:rFonts w:hint="eastAsia" w:ascii="楷体_GB2312" w:eastAsia="楷体_GB2312"/>
          <w:sz w:val="24"/>
          <w:szCs w:val="24"/>
        </w:rPr>
      </w:pPr>
      <w:r>
        <w:rPr>
          <w:rFonts w:hint="eastAsia" w:ascii="楷体_GB2312" w:eastAsia="楷体_GB2312"/>
          <w:sz w:val="24"/>
          <w:szCs w:val="24"/>
          <w:lang w:val="en-US" w:eastAsia="zh-CN"/>
        </w:rPr>
        <w:t>给管理人交易待确认文件（53文件）</w:t>
      </w:r>
    </w:p>
    <w:p>
      <w:pPr>
        <w:autoSpaceDE w:val="0"/>
        <w:autoSpaceDN w:val="0"/>
        <w:adjustRightInd w:val="0"/>
        <w:spacing w:line="360" w:lineRule="auto"/>
        <w:ind w:firstLine="480" w:firstLineChars="200"/>
        <w:jc w:val="left"/>
        <w:rPr>
          <w:rFonts w:hint="default" w:ascii="宋体" w:hAnsi="宋体" w:eastAsia="楷体_GB2312" w:cs="仿宋_GB2312"/>
          <w:kern w:val="0"/>
          <w:sz w:val="24"/>
          <w:szCs w:val="24"/>
          <w:lang w:val="en-US" w:eastAsia="zh-CN"/>
        </w:rPr>
      </w:pPr>
      <w:r>
        <w:rPr>
          <w:rFonts w:hint="eastAsia" w:ascii="宋体" w:hAnsi="宋体" w:eastAsia="楷体_GB2312" w:cs="仿宋_GB2312"/>
          <w:kern w:val="0"/>
          <w:sz w:val="24"/>
          <w:szCs w:val="24"/>
          <w:lang w:val="en-US" w:eastAsia="zh-CN"/>
        </w:rPr>
        <w:t>TA系统仍然使用53文件通过020业务转发深圳场内认购申请及拉单确认数据，其中“交易发生日期”+“申请单编号”字段可以唯一标识一笔深圳场内认购请求。针对同一笔深圳场内认购业务，T日发送深圳场内认购申请和T+2日发送的拉单确认数据的“交易发生日期”和“申请单编号”取值相同。</w:t>
      </w:r>
    </w:p>
    <w:p>
      <w:pPr>
        <w:autoSpaceDE w:val="0"/>
        <w:autoSpaceDN w:val="0"/>
        <w:adjustRightInd w:val="0"/>
        <w:spacing w:line="360" w:lineRule="auto"/>
        <w:ind w:firstLine="480" w:firstLineChars="200"/>
        <w:jc w:val="left"/>
        <w:rPr>
          <w:rFonts w:hint="eastAsia" w:ascii="宋体" w:hAnsi="宋体" w:eastAsia="楷体_GB2312" w:cs="仿宋_GB2312"/>
          <w:kern w:val="0"/>
          <w:sz w:val="24"/>
          <w:szCs w:val="24"/>
          <w:lang w:val="en-US" w:eastAsia="zh-CN"/>
        </w:rPr>
      </w:pPr>
      <w:r>
        <w:rPr>
          <w:rFonts w:hint="eastAsia" w:ascii="宋体" w:hAnsi="宋体" w:eastAsia="楷体_GB2312" w:cs="仿宋_GB2312"/>
          <w:kern w:val="0"/>
          <w:sz w:val="24"/>
          <w:szCs w:val="24"/>
          <w:lang w:val="en-US" w:eastAsia="zh-CN"/>
        </w:rPr>
        <w:t>T日发送的深圳场内认购申请中，“交易申请份数”为</w:t>
      </w:r>
      <w:r>
        <w:rPr>
          <w:rFonts w:hint="eastAsia" w:ascii="楷体_GB2312" w:eastAsia="楷体_GB2312"/>
          <w:sz w:val="24"/>
          <w:lang w:eastAsia="zh-CN"/>
        </w:rPr>
        <w:t>深圳场内</w:t>
      </w:r>
      <w:r>
        <w:rPr>
          <w:rFonts w:hint="eastAsia" w:ascii="楷体_GB2312" w:eastAsia="楷体_GB2312"/>
          <w:sz w:val="24"/>
        </w:rPr>
        <w:t>投资者的</w:t>
      </w:r>
      <w:r>
        <w:rPr>
          <w:rFonts w:hint="eastAsia" w:ascii="楷体_GB2312" w:eastAsia="楷体_GB2312"/>
          <w:sz w:val="24"/>
          <w:lang w:eastAsia="zh-CN"/>
        </w:rPr>
        <w:t>原始</w:t>
      </w:r>
      <w:r>
        <w:rPr>
          <w:rFonts w:hint="eastAsia" w:ascii="楷体_GB2312" w:eastAsia="楷体_GB2312"/>
          <w:sz w:val="24"/>
        </w:rPr>
        <w:t>认购申请份额</w:t>
      </w:r>
      <w:r>
        <w:rPr>
          <w:rFonts w:hint="eastAsia" w:ascii="楷体_GB2312" w:eastAsia="楷体_GB2312"/>
          <w:sz w:val="24"/>
          <w:lang w:eastAsia="zh-CN"/>
        </w:rPr>
        <w:t>，若交易已被深圳登记结算系统或</w:t>
      </w:r>
      <w:r>
        <w:rPr>
          <w:rFonts w:hint="eastAsia" w:ascii="楷体_GB2312" w:eastAsia="楷体_GB2312"/>
          <w:sz w:val="24"/>
          <w:lang w:val="en-US" w:eastAsia="zh-CN"/>
        </w:rPr>
        <w:t>TA系统</w:t>
      </w:r>
      <w:r>
        <w:rPr>
          <w:rFonts w:hint="eastAsia" w:ascii="楷体_GB2312" w:eastAsia="楷体_GB2312"/>
          <w:sz w:val="24"/>
          <w:lang w:eastAsia="zh-CN"/>
        </w:rPr>
        <w:t>判失败，则“</w:t>
      </w:r>
      <w:r>
        <w:rPr>
          <w:rFonts w:hint="eastAsia" w:ascii="宋体" w:hAnsi="宋体" w:eastAsia="楷体_GB2312" w:cs="仿宋_GB2312"/>
          <w:kern w:val="0"/>
          <w:sz w:val="24"/>
          <w:szCs w:val="24"/>
          <w:lang w:val="en-US" w:eastAsia="zh-CN"/>
        </w:rPr>
        <w:t>交易确认份数</w:t>
      </w:r>
      <w:r>
        <w:rPr>
          <w:rFonts w:hint="eastAsia" w:ascii="楷体_GB2312" w:eastAsia="楷体_GB2312"/>
          <w:sz w:val="24"/>
          <w:lang w:eastAsia="zh-CN"/>
        </w:rPr>
        <w:t>”</w:t>
      </w:r>
      <w:r>
        <w:rPr>
          <w:rFonts w:hint="eastAsia" w:ascii="宋体" w:hAnsi="宋体" w:eastAsia="楷体_GB2312" w:cs="仿宋_GB2312"/>
          <w:kern w:val="0"/>
          <w:sz w:val="24"/>
          <w:szCs w:val="24"/>
          <w:lang w:val="en-US" w:eastAsia="zh-CN"/>
        </w:rPr>
        <w:t>取值为0</w:t>
      </w:r>
      <w:r>
        <w:rPr>
          <w:rFonts w:hint="eastAsia" w:ascii="楷体_GB2312" w:eastAsia="楷体_GB2312"/>
          <w:sz w:val="24"/>
          <w:lang w:val="en-US" w:eastAsia="zh-CN"/>
        </w:rPr>
        <w:t>，否则</w:t>
      </w:r>
      <w:r>
        <w:rPr>
          <w:rFonts w:hint="eastAsia" w:ascii="楷体_GB2312" w:eastAsia="楷体_GB2312"/>
          <w:sz w:val="24"/>
          <w:lang w:eastAsia="zh-CN"/>
        </w:rPr>
        <w:t>“</w:t>
      </w:r>
      <w:r>
        <w:rPr>
          <w:rFonts w:hint="eastAsia" w:ascii="宋体" w:hAnsi="宋体" w:eastAsia="楷体_GB2312" w:cs="仿宋_GB2312"/>
          <w:kern w:val="0"/>
          <w:sz w:val="24"/>
          <w:szCs w:val="24"/>
          <w:lang w:val="en-US" w:eastAsia="zh-CN"/>
        </w:rPr>
        <w:t>交易确认份数</w:t>
      </w:r>
      <w:r>
        <w:rPr>
          <w:rFonts w:hint="eastAsia" w:ascii="楷体_GB2312" w:eastAsia="楷体_GB2312"/>
          <w:sz w:val="24"/>
          <w:lang w:eastAsia="zh-CN"/>
        </w:rPr>
        <w:t>”取值等于</w:t>
      </w:r>
      <w:r>
        <w:rPr>
          <w:rFonts w:hint="eastAsia" w:ascii="宋体" w:hAnsi="宋体" w:eastAsia="楷体_GB2312" w:cs="仿宋_GB2312"/>
          <w:kern w:val="0"/>
          <w:sz w:val="24"/>
          <w:szCs w:val="24"/>
          <w:lang w:val="en-US" w:eastAsia="zh-CN"/>
        </w:rPr>
        <w:t>“交易申请份数”。</w:t>
      </w:r>
    </w:p>
    <w:p>
      <w:pPr>
        <w:autoSpaceDE w:val="0"/>
        <w:autoSpaceDN w:val="0"/>
        <w:adjustRightInd w:val="0"/>
        <w:spacing w:line="360" w:lineRule="auto"/>
        <w:ind w:firstLine="480" w:firstLineChars="200"/>
        <w:jc w:val="left"/>
        <w:rPr>
          <w:rFonts w:hint="eastAsia" w:ascii="楷体_GB2312" w:hAnsi="Times New Roman" w:eastAsia="楷体_GB2312" w:cs="Times New Roman"/>
          <w:i w:val="0"/>
          <w:caps w:val="0"/>
          <w:color w:val="0070C0"/>
          <w:spacing w:val="0"/>
          <w:kern w:val="2"/>
          <w:sz w:val="24"/>
          <w:szCs w:val="24"/>
          <w:shd w:val="clear" w:color="auto" w:fill="auto"/>
          <w:lang w:val="en-US" w:eastAsia="zh-CN" w:bidi="ar"/>
        </w:rPr>
      </w:pPr>
      <w:r>
        <w:rPr>
          <w:rFonts w:hint="eastAsia" w:ascii="宋体" w:hAnsi="宋体" w:eastAsia="楷体_GB2312" w:cs="仿宋_GB2312"/>
          <w:kern w:val="0"/>
          <w:sz w:val="24"/>
          <w:szCs w:val="24"/>
          <w:lang w:val="en-US" w:eastAsia="zh-CN"/>
        </w:rPr>
        <w:t>T+2日发送的拉单确认数据中，“交易申请份数”取值为T+1日</w:t>
      </w:r>
      <w:r>
        <w:rPr>
          <w:rFonts w:hint="eastAsia" w:ascii="楷体_GB2312" w:eastAsia="楷体_GB2312"/>
          <w:sz w:val="24"/>
          <w:lang w:eastAsia="zh-CN"/>
        </w:rPr>
        <w:t>管理人认购确认后的交易确认份额（若管理人未做认购确认，则等于原始申请份额），“</w:t>
      </w:r>
      <w:r>
        <w:rPr>
          <w:rFonts w:hint="eastAsia" w:ascii="宋体" w:hAnsi="宋体" w:eastAsia="楷体_GB2312" w:cs="仿宋_GB2312"/>
          <w:kern w:val="0"/>
          <w:sz w:val="24"/>
          <w:szCs w:val="24"/>
          <w:lang w:val="en-US" w:eastAsia="zh-CN"/>
        </w:rPr>
        <w:t>交易确认份数</w:t>
      </w:r>
      <w:r>
        <w:rPr>
          <w:rFonts w:hint="eastAsia" w:ascii="楷体_GB2312" w:eastAsia="楷体_GB2312"/>
          <w:sz w:val="24"/>
          <w:lang w:eastAsia="zh-CN"/>
        </w:rPr>
        <w:t>”取值为</w:t>
      </w:r>
      <w:r>
        <w:rPr>
          <w:rFonts w:hint="eastAsia" w:ascii="楷体_GB2312" w:eastAsia="楷体_GB2312"/>
          <w:sz w:val="24"/>
        </w:rPr>
        <w:t>进行</w:t>
      </w:r>
      <w:r>
        <w:rPr>
          <w:rFonts w:hint="eastAsia" w:ascii="楷体_GB2312" w:eastAsia="楷体_GB2312"/>
          <w:sz w:val="24"/>
          <w:lang w:eastAsia="zh-CN"/>
        </w:rPr>
        <w:t>深圳场内</w:t>
      </w:r>
      <w:r>
        <w:rPr>
          <w:rFonts w:hint="eastAsia" w:ascii="楷体_GB2312" w:eastAsia="楷体_GB2312"/>
          <w:sz w:val="24"/>
        </w:rPr>
        <w:t>拉单处理后的确认有效份额</w:t>
      </w:r>
      <w:r>
        <w:rPr>
          <w:rFonts w:hint="eastAsia" w:ascii="楷体_GB2312" w:eastAsia="楷体_GB2312"/>
          <w:sz w:val="24"/>
          <w:lang w:eastAsia="zh-CN"/>
        </w:rPr>
        <w:t>。</w:t>
      </w:r>
      <w:r>
        <w:rPr>
          <w:rFonts w:hint="eastAsia" w:ascii="楷体_GB2312" w:hAnsi="Times New Roman" w:eastAsia="楷体_GB2312" w:cs="Times New Roman"/>
          <w:i w:val="0"/>
          <w:caps w:val="0"/>
          <w:color w:val="auto"/>
          <w:spacing w:val="0"/>
          <w:kern w:val="2"/>
          <w:sz w:val="24"/>
          <w:szCs w:val="24"/>
          <w:shd w:val="clear" w:color="auto" w:fill="auto"/>
          <w:lang w:val="en-US" w:eastAsia="zh-CN" w:bidi="ar"/>
        </w:rPr>
        <w:t>拉单确认结果中将不包含T+1日管理人确认数据未通过合法性检查或管理人主动确认失败的认购数据。</w:t>
      </w:r>
    </w:p>
    <w:p>
      <w:pPr>
        <w:pStyle w:val="4"/>
        <w:numPr>
          <w:ilvl w:val="0"/>
          <w:numId w:val="2"/>
        </w:numPr>
        <w:ind w:left="425" w:hanging="425"/>
        <w:outlineLvl w:val="1"/>
        <w:rPr>
          <w:rFonts w:hint="eastAsia" w:ascii="楷体_GB2312" w:eastAsia="楷体_GB2312"/>
          <w:sz w:val="24"/>
          <w:szCs w:val="24"/>
        </w:rPr>
      </w:pPr>
      <w:r>
        <w:rPr>
          <w:rFonts w:hint="eastAsia" w:ascii="楷体_GB2312" w:eastAsia="楷体_GB2312"/>
          <w:sz w:val="24"/>
          <w:szCs w:val="24"/>
          <w:lang w:val="en-US" w:eastAsia="zh-CN"/>
        </w:rPr>
        <w:t>给管理人交易明细确认文件（63文件）</w:t>
      </w:r>
    </w:p>
    <w:p>
      <w:pPr>
        <w:autoSpaceDE w:val="0"/>
        <w:autoSpaceDN w:val="0"/>
        <w:adjustRightInd w:val="0"/>
        <w:spacing w:line="360" w:lineRule="auto"/>
        <w:ind w:firstLine="480" w:firstLineChars="200"/>
        <w:jc w:val="left"/>
        <w:rPr>
          <w:rFonts w:hint="eastAsia" w:ascii="宋体" w:hAnsi="宋体" w:eastAsia="楷体_GB2312" w:cs="仿宋_GB2312"/>
          <w:kern w:val="0"/>
          <w:sz w:val="24"/>
          <w:szCs w:val="24"/>
          <w:lang w:val="en-US" w:eastAsia="zh-CN"/>
        </w:rPr>
      </w:pPr>
      <w:r>
        <w:rPr>
          <w:rFonts w:hint="eastAsia" w:ascii="宋体" w:hAnsi="宋体" w:eastAsia="楷体_GB2312" w:cs="仿宋_GB2312"/>
          <w:kern w:val="0"/>
          <w:sz w:val="24"/>
          <w:szCs w:val="24"/>
          <w:lang w:val="en-US" w:eastAsia="zh-CN"/>
        </w:rPr>
        <w:t>管理人仅需发送需要干预的深圳场内认购确认数据，若未进行确认，则默认对相应认购数据进行100%全部确认。</w:t>
      </w:r>
    </w:p>
    <w:p>
      <w:pPr>
        <w:autoSpaceDE w:val="0"/>
        <w:autoSpaceDN w:val="0"/>
        <w:adjustRightInd w:val="0"/>
        <w:spacing w:line="360" w:lineRule="auto"/>
        <w:ind w:firstLine="480" w:firstLineChars="200"/>
        <w:jc w:val="left"/>
        <w:rPr>
          <w:rFonts w:hint="eastAsia" w:ascii="宋体" w:hAnsi="宋体" w:eastAsia="楷体_GB2312" w:cs="仿宋_GB2312"/>
          <w:kern w:val="0"/>
          <w:sz w:val="24"/>
          <w:szCs w:val="24"/>
          <w:lang w:val="en-US" w:eastAsia="zh-CN"/>
        </w:rPr>
      </w:pPr>
      <w:r>
        <w:rPr>
          <w:rFonts w:hint="eastAsia" w:ascii="宋体" w:hAnsi="宋体" w:eastAsia="楷体_GB2312" w:cs="仿宋_GB2312"/>
          <w:kern w:val="0"/>
          <w:sz w:val="24"/>
          <w:szCs w:val="24"/>
          <w:lang w:val="en-US" w:eastAsia="zh-CN"/>
        </w:rPr>
        <w:t>TA系统将依据交易确认中的“交易发生日期”、“申请单编号”、“基金代码”、“基金账户”、“托管网点编号”（席位代码）、“业务类型”（固定为020）字段和申请数据进行匹配。针对未匹配到确认数据的认购业务，按默认100%确认处理；针对匹配一致的，TA系统仅判断“交易确认份数”字段的合法性，不对其他字段进行合法性检查。</w:t>
      </w:r>
    </w:p>
    <w:p>
      <w:pPr>
        <w:numPr>
          <w:ilvl w:val="-1"/>
          <w:numId w:val="0"/>
        </w:numPr>
        <w:autoSpaceDE w:val="0"/>
        <w:autoSpaceDN w:val="0"/>
        <w:adjustRightInd w:val="0"/>
        <w:spacing w:line="360" w:lineRule="auto"/>
        <w:ind w:left="0" w:leftChars="0" w:firstLine="480" w:firstLineChars="200"/>
        <w:jc w:val="left"/>
        <w:rPr>
          <w:rFonts w:hint="eastAsia" w:ascii="宋体" w:hAnsi="宋体" w:eastAsia="楷体_GB2312" w:cs="仿宋_GB2312"/>
          <w:kern w:val="0"/>
          <w:sz w:val="24"/>
          <w:szCs w:val="24"/>
          <w:lang w:val="en-US" w:eastAsia="zh-CN"/>
        </w:rPr>
      </w:pPr>
      <w:r>
        <w:rPr>
          <w:rFonts w:hint="eastAsia" w:ascii="宋体" w:hAnsi="宋体" w:eastAsia="楷体_GB2312" w:cs="仿宋_GB2312"/>
          <w:kern w:val="0"/>
          <w:sz w:val="24"/>
          <w:szCs w:val="24"/>
          <w:lang w:val="en-US" w:eastAsia="zh-CN"/>
        </w:rPr>
        <w:t>其中，“交易确认份数”字段应小于等于T日53文件中发送的“交易申请份数”，且需为整数份，具体校验逻辑如下：</w:t>
      </w:r>
    </w:p>
    <w:p>
      <w:pPr>
        <w:numPr>
          <w:ilvl w:val="0"/>
          <w:numId w:val="3"/>
        </w:numPr>
        <w:autoSpaceDE w:val="0"/>
        <w:autoSpaceDN w:val="0"/>
        <w:adjustRightInd w:val="0"/>
        <w:spacing w:line="360" w:lineRule="auto"/>
        <w:ind w:left="845" w:leftChars="0" w:hanging="425" w:firstLineChars="0"/>
        <w:jc w:val="left"/>
        <w:rPr>
          <w:rFonts w:hint="eastAsia" w:ascii="宋体" w:hAnsi="宋体" w:eastAsia="楷体_GB2312" w:cs="仿宋_GB2312"/>
          <w:kern w:val="0"/>
          <w:sz w:val="24"/>
          <w:szCs w:val="24"/>
          <w:lang w:val="en-US" w:eastAsia="zh-CN"/>
        </w:rPr>
      </w:pPr>
      <w:r>
        <w:rPr>
          <w:rFonts w:hint="eastAsia" w:ascii="宋体" w:hAnsi="宋体" w:eastAsia="楷体_GB2312" w:cs="仿宋_GB2312"/>
          <w:kern w:val="0"/>
          <w:sz w:val="24"/>
          <w:szCs w:val="24"/>
          <w:lang w:val="en-US" w:eastAsia="zh-CN"/>
        </w:rPr>
        <w:t>如交易确认份数大于申请份额或为负数，则该笔认购交易将被判失败；</w:t>
      </w:r>
    </w:p>
    <w:p>
      <w:pPr>
        <w:numPr>
          <w:ilvl w:val="0"/>
          <w:numId w:val="3"/>
        </w:numPr>
        <w:autoSpaceDE w:val="0"/>
        <w:autoSpaceDN w:val="0"/>
        <w:adjustRightInd w:val="0"/>
        <w:spacing w:line="360" w:lineRule="auto"/>
        <w:ind w:left="845" w:leftChars="0" w:hanging="425" w:firstLineChars="0"/>
        <w:jc w:val="left"/>
        <w:rPr>
          <w:rFonts w:hint="eastAsia" w:ascii="宋体" w:hAnsi="宋体" w:eastAsia="楷体_GB2312" w:cs="仿宋_GB2312"/>
          <w:kern w:val="0"/>
          <w:sz w:val="24"/>
          <w:szCs w:val="24"/>
          <w:lang w:val="en-US" w:eastAsia="zh-CN"/>
        </w:rPr>
      </w:pPr>
      <w:r>
        <w:rPr>
          <w:rFonts w:hint="eastAsia" w:ascii="宋体" w:hAnsi="宋体" w:eastAsia="楷体_GB2312" w:cs="仿宋_GB2312"/>
          <w:kern w:val="0"/>
          <w:sz w:val="24"/>
          <w:szCs w:val="24"/>
          <w:lang w:val="en-US" w:eastAsia="zh-CN"/>
        </w:rPr>
        <w:t>如交易确认份数有小数，则认购确认份额为取整后的值；如交易确认份数取整后的值为0，则该笔交易判失败；</w:t>
      </w:r>
    </w:p>
    <w:p>
      <w:pPr>
        <w:rPr>
          <w:rFonts w:hint="eastAsia" w:ascii="楷体" w:hAnsi="楷体" w:eastAsia="楷体" w:cs="楷体"/>
          <w:lang w:val="en-US" w:eastAsia="zh-CN"/>
        </w:rPr>
      </w:pPr>
    </w:p>
    <w:p>
      <w:pPr>
        <w:numPr>
          <w:ilvl w:val="0"/>
          <w:numId w:val="2"/>
        </w:numPr>
        <w:ind w:left="425" w:hanging="425"/>
        <w:outlineLvl w:val="1"/>
        <w:rPr>
          <w:rFonts w:hint="eastAsia" w:ascii="楷体_GB2312" w:eastAsia="楷体_GB2312"/>
          <w:b/>
          <w:bCs/>
          <w:sz w:val="24"/>
          <w:szCs w:val="24"/>
          <w:lang w:val="en-US" w:eastAsia="zh-CN"/>
        </w:rPr>
      </w:pPr>
      <w:r>
        <w:rPr>
          <w:rFonts w:hint="eastAsia" w:ascii="楷体_GB2312" w:eastAsia="楷体_GB2312"/>
          <w:b/>
          <w:bCs/>
          <w:sz w:val="24"/>
          <w:szCs w:val="24"/>
          <w:lang w:val="en-US" w:eastAsia="zh-CN"/>
        </w:rPr>
        <w:t>给管理人交易回报文件（54文件）</w:t>
      </w:r>
    </w:p>
    <w:p>
      <w:pPr>
        <w:rPr>
          <w:rFonts w:hint="eastAsia" w:ascii="楷体_GB2312" w:eastAsia="楷体_GB2312"/>
          <w:sz w:val="24"/>
          <w:szCs w:val="24"/>
          <w:lang w:val="en-US" w:eastAsia="zh-CN"/>
        </w:rPr>
      </w:pPr>
    </w:p>
    <w:p>
      <w:pPr>
        <w:autoSpaceDE w:val="0"/>
        <w:autoSpaceDN w:val="0"/>
        <w:adjustRightInd w:val="0"/>
        <w:spacing w:line="360" w:lineRule="auto"/>
        <w:ind w:firstLine="480" w:firstLineChars="200"/>
        <w:jc w:val="left"/>
        <w:rPr>
          <w:rFonts w:hint="default" w:ascii="宋体" w:hAnsi="宋体" w:eastAsia="楷体_GB2312" w:cs="仿宋_GB2312"/>
          <w:kern w:val="0"/>
          <w:sz w:val="24"/>
          <w:szCs w:val="24"/>
          <w:lang w:val="en-US" w:eastAsia="zh-CN"/>
        </w:rPr>
      </w:pPr>
      <w:r>
        <w:rPr>
          <w:rFonts w:hint="eastAsia" w:ascii="宋体" w:hAnsi="宋体" w:eastAsia="楷体_GB2312" w:cs="仿宋_GB2312"/>
          <w:kern w:val="0"/>
          <w:sz w:val="24"/>
          <w:szCs w:val="24"/>
          <w:lang w:val="en-US" w:eastAsia="zh-CN"/>
        </w:rPr>
        <w:t>若管理人认购确认数据合法性校验不通过，则在T+1日交易回报54文件中，将发送120业务的失败回报，同时T+2日53文件将无相应认购业务的拉单确认结果数据。若管理人认购确认数据合法性校验通过，在T+1日交易回报54文件中没有120业务回报，T+2日53文件将发送该笔场内认购的拉单确认结果数据。</w:t>
      </w:r>
    </w:p>
    <w:p>
      <w:pPr>
        <w:rPr>
          <w:rFonts w:hint="eastAsia" w:ascii="楷体_GB2312" w:eastAsia="楷体_GB2312"/>
          <w:sz w:val="24"/>
          <w:szCs w:val="24"/>
          <w:lang w:val="en-US" w:eastAsia="zh-CN"/>
        </w:rPr>
      </w:pPr>
    </w:p>
    <w:p>
      <w:pPr>
        <w:numPr>
          <w:ilvl w:val="0"/>
          <w:numId w:val="2"/>
        </w:numPr>
        <w:ind w:left="425" w:hanging="425"/>
        <w:outlineLvl w:val="1"/>
        <w:rPr>
          <w:rFonts w:hint="eastAsia" w:ascii="楷体_GB2312" w:eastAsia="楷体_GB2312"/>
          <w:b/>
          <w:bCs/>
          <w:sz w:val="24"/>
          <w:szCs w:val="24"/>
          <w:lang w:val="en-US" w:eastAsia="zh-CN"/>
        </w:rPr>
      </w:pPr>
      <w:r>
        <w:rPr>
          <w:rFonts w:hint="eastAsia" w:ascii="楷体_GB2312" w:eastAsia="楷体_GB2312"/>
          <w:b/>
          <w:bCs/>
          <w:sz w:val="24"/>
          <w:szCs w:val="24"/>
          <w:lang w:val="en-US" w:eastAsia="zh-CN"/>
        </w:rPr>
        <w:t>特别说明</w:t>
      </w:r>
    </w:p>
    <w:p>
      <w:pPr>
        <w:numPr>
          <w:ilvl w:val="0"/>
          <w:numId w:val="4"/>
        </w:numPr>
        <w:autoSpaceDE w:val="0"/>
        <w:autoSpaceDN w:val="0"/>
        <w:adjustRightInd w:val="0"/>
        <w:spacing w:line="360" w:lineRule="auto"/>
        <w:ind w:left="845" w:leftChars="0" w:hanging="425" w:firstLineChars="0"/>
        <w:jc w:val="left"/>
        <w:rPr>
          <w:rFonts w:hint="eastAsia" w:ascii="宋体" w:hAnsi="宋体" w:eastAsia="楷体_GB2312" w:cs="仿宋_GB2312"/>
          <w:kern w:val="0"/>
          <w:sz w:val="24"/>
          <w:szCs w:val="24"/>
          <w:lang w:val="en-US" w:eastAsia="zh-CN"/>
        </w:rPr>
      </w:pPr>
      <w:r>
        <w:rPr>
          <w:rFonts w:hint="eastAsia" w:ascii="宋体" w:hAnsi="宋体" w:eastAsia="楷体_GB2312" w:cs="仿宋_GB2312"/>
          <w:kern w:val="0"/>
          <w:sz w:val="24"/>
          <w:szCs w:val="24"/>
          <w:lang w:val="en-US" w:eastAsia="zh-CN"/>
        </w:rPr>
        <w:t>深证LOF（REITs）场内认购业务不支持TA系统柜台批确认处理；</w:t>
      </w:r>
    </w:p>
    <w:p>
      <w:pPr>
        <w:numPr>
          <w:ilvl w:val="0"/>
          <w:numId w:val="4"/>
        </w:numPr>
        <w:autoSpaceDE w:val="0"/>
        <w:autoSpaceDN w:val="0"/>
        <w:adjustRightInd w:val="0"/>
        <w:spacing w:line="360" w:lineRule="auto"/>
        <w:ind w:left="845" w:leftChars="0" w:hanging="425" w:firstLineChars="0"/>
        <w:jc w:val="left"/>
        <w:rPr>
          <w:rFonts w:hint="default" w:ascii="宋体" w:hAnsi="宋体" w:eastAsia="楷体_GB2312" w:cs="仿宋_GB2312"/>
          <w:kern w:val="0"/>
          <w:sz w:val="24"/>
          <w:szCs w:val="24"/>
          <w:lang w:val="en-US" w:eastAsia="zh-CN"/>
        </w:rPr>
      </w:pPr>
      <w:r>
        <w:rPr>
          <w:rFonts w:hint="eastAsia" w:ascii="宋体" w:hAnsi="宋体" w:eastAsia="楷体_GB2312" w:cs="仿宋_GB2312"/>
          <w:kern w:val="0"/>
          <w:sz w:val="24"/>
          <w:szCs w:val="24"/>
          <w:lang w:val="en-US" w:eastAsia="zh-CN"/>
        </w:rPr>
        <w:t>本功能对原有深证LOF认购兼容，如管理人未进行确认，TA系统将继续按照原有深证LOF（REITs）场内认购模式进行处理；</w:t>
      </w:r>
    </w:p>
    <w:p>
      <w:pPr>
        <w:numPr>
          <w:ilvl w:val="0"/>
          <w:numId w:val="4"/>
        </w:numPr>
        <w:autoSpaceDE w:val="0"/>
        <w:autoSpaceDN w:val="0"/>
        <w:adjustRightInd w:val="0"/>
        <w:spacing w:line="360" w:lineRule="auto"/>
        <w:ind w:left="845" w:leftChars="0" w:hanging="425" w:firstLineChars="0"/>
        <w:jc w:val="left"/>
        <w:rPr>
          <w:rFonts w:hint="default" w:ascii="宋体" w:hAnsi="宋体" w:eastAsia="楷体_GB2312" w:cs="仿宋_GB2312"/>
          <w:kern w:val="0"/>
          <w:sz w:val="24"/>
          <w:szCs w:val="24"/>
          <w:lang w:val="en-US" w:eastAsia="zh-CN"/>
        </w:rPr>
      </w:pPr>
      <w:r>
        <w:rPr>
          <w:rFonts w:hint="eastAsia" w:ascii="宋体" w:hAnsi="宋体" w:eastAsia="楷体_GB2312" w:cs="仿宋_GB2312"/>
          <w:kern w:val="0"/>
          <w:sz w:val="24"/>
          <w:szCs w:val="24"/>
          <w:lang w:val="en-US" w:eastAsia="zh-CN"/>
        </w:rPr>
        <w:t>本项目上线后，TA系统将不再为深证LOF（REITs）场内认购数据重新编制申请单编号，直接取认购日期后6位+深圳场内认购序号作为申请单编号，且针对同一笔深证LOF（REITs）场内认购业务，T日发送深圳场内认购申请和T+2日发送的拉单确认数据的“交易发生日期”和“申请单编号”取值相同。</w:t>
      </w:r>
    </w:p>
    <w:p>
      <w:pPr>
        <w:numPr>
          <w:ilvl w:val="0"/>
          <w:numId w:val="4"/>
        </w:numPr>
        <w:autoSpaceDE w:val="0"/>
        <w:autoSpaceDN w:val="0"/>
        <w:adjustRightInd w:val="0"/>
        <w:spacing w:line="360" w:lineRule="auto"/>
        <w:ind w:left="845" w:leftChars="0" w:hanging="425" w:firstLineChars="0"/>
        <w:jc w:val="left"/>
        <w:rPr>
          <w:rFonts w:hint="default" w:ascii="宋体" w:hAnsi="宋体" w:eastAsia="楷体_GB2312" w:cs="仿宋_GB2312"/>
          <w:kern w:val="0"/>
          <w:sz w:val="24"/>
          <w:szCs w:val="24"/>
          <w:lang w:val="en-US" w:eastAsia="zh-CN"/>
        </w:rPr>
      </w:pPr>
      <w:r>
        <w:rPr>
          <w:rFonts w:hint="eastAsia" w:ascii="宋体" w:hAnsi="宋体" w:eastAsia="楷体_GB2312" w:cs="仿宋_GB2312"/>
          <w:kern w:val="0"/>
          <w:sz w:val="24"/>
          <w:szCs w:val="24"/>
          <w:lang w:val="en-US" w:eastAsia="zh-CN"/>
        </w:rPr>
        <w:t>相关管理人接口规范修订内容，详见《中国结算开放式基金登记结算系统管理人数据接口规范V1.2-20230216修订版》</w:t>
      </w:r>
    </w:p>
    <w:p>
      <w:pPr>
        <w:pStyle w:val="3"/>
        <w:numPr>
          <w:ilvl w:val="0"/>
          <w:numId w:val="1"/>
        </w:numPr>
        <w:outlineLvl w:val="0"/>
        <w:rPr>
          <w:rFonts w:ascii="Cambria" w:hAnsi="Cambria" w:eastAsia="楷体_GB2312"/>
          <w:color w:val="4F81BD"/>
          <w:sz w:val="26"/>
          <w:szCs w:val="26"/>
        </w:rPr>
      </w:pPr>
      <w:r>
        <w:rPr>
          <w:rFonts w:hint="eastAsia" w:ascii="Cambria" w:hAnsi="Cambria" w:eastAsia="楷体_GB2312"/>
          <w:color w:val="4F81BD"/>
          <w:sz w:val="26"/>
          <w:szCs w:val="26"/>
        </w:rPr>
        <w:t>联系</w:t>
      </w:r>
      <w:r>
        <w:rPr>
          <w:rFonts w:ascii="Cambria" w:hAnsi="Cambria" w:eastAsia="楷体_GB2312"/>
          <w:color w:val="4F81BD"/>
          <w:sz w:val="26"/>
          <w:szCs w:val="26"/>
        </w:rPr>
        <w:t>方式</w:t>
      </w:r>
      <w:bookmarkStart w:id="0" w:name="_GoBack"/>
      <w:bookmarkEnd w:id="0"/>
    </w:p>
    <w:p>
      <w:pPr>
        <w:pStyle w:val="19"/>
        <w:spacing w:line="360" w:lineRule="auto"/>
        <w:ind w:firstLine="420" w:firstLineChars="0"/>
        <w:rPr>
          <w:rFonts w:hint="default" w:ascii="宋体" w:hAnsi="宋体" w:eastAsia="楷体_GB2312" w:cs="仿宋_GB2312"/>
          <w:kern w:val="0"/>
          <w:sz w:val="24"/>
          <w:szCs w:val="24"/>
          <w:lang w:val="en-US" w:eastAsia="zh-CN"/>
        </w:rPr>
      </w:pPr>
      <w:r>
        <w:rPr>
          <w:rFonts w:hint="eastAsia" w:ascii="宋体" w:hAnsi="宋体" w:eastAsia="楷体_GB2312" w:cs="仿宋_GB2312"/>
          <w:kern w:val="0"/>
          <w:sz w:val="24"/>
          <w:szCs w:val="24"/>
          <w:lang w:eastAsia="zh-CN"/>
        </w:rPr>
        <w:t>本项目择期将由深交所统一组织市场参与机构开展联合</w:t>
      </w:r>
      <w:r>
        <w:rPr>
          <w:rFonts w:hint="eastAsia" w:ascii="宋体" w:hAnsi="宋体" w:eastAsia="楷体_GB2312" w:cs="仿宋_GB2312"/>
          <w:kern w:val="0"/>
          <w:sz w:val="24"/>
          <w:szCs w:val="24"/>
        </w:rPr>
        <w:t>测试</w:t>
      </w:r>
      <w:r>
        <w:rPr>
          <w:rFonts w:hint="eastAsia" w:ascii="宋体" w:hAnsi="宋体" w:eastAsia="楷体_GB2312" w:cs="仿宋_GB2312"/>
          <w:kern w:val="0"/>
          <w:sz w:val="24"/>
          <w:szCs w:val="24"/>
          <w:lang w:eastAsia="zh-CN"/>
        </w:rPr>
        <w:t>、有测试需求的参与机构请提前联系深交所进行报名，同时</w:t>
      </w:r>
      <w:r>
        <w:rPr>
          <w:rFonts w:hint="eastAsia" w:ascii="宋体" w:hAnsi="宋体" w:eastAsia="楷体_GB2312" w:cs="仿宋_GB2312"/>
          <w:kern w:val="0"/>
          <w:sz w:val="24"/>
          <w:szCs w:val="24"/>
        </w:rPr>
        <w:t>各参与人</w:t>
      </w:r>
      <w:r>
        <w:rPr>
          <w:rFonts w:ascii="宋体" w:hAnsi="宋体" w:eastAsia="楷体_GB2312" w:cs="仿宋_GB2312"/>
          <w:kern w:val="0"/>
          <w:sz w:val="24"/>
          <w:szCs w:val="24"/>
        </w:rPr>
        <w:t>如有</w:t>
      </w:r>
      <w:r>
        <w:rPr>
          <w:rFonts w:hint="eastAsia" w:ascii="宋体" w:hAnsi="宋体" w:eastAsia="楷体_GB2312" w:cs="仿宋_GB2312"/>
          <w:kern w:val="0"/>
          <w:sz w:val="24"/>
          <w:szCs w:val="24"/>
        </w:rPr>
        <w:t>与中国</w:t>
      </w:r>
      <w:r>
        <w:rPr>
          <w:rFonts w:ascii="宋体" w:hAnsi="宋体" w:eastAsia="楷体_GB2312" w:cs="仿宋_GB2312"/>
          <w:kern w:val="0"/>
          <w:sz w:val="24"/>
          <w:szCs w:val="24"/>
        </w:rPr>
        <w:t>结算TA系统</w:t>
      </w:r>
      <w:r>
        <w:rPr>
          <w:rFonts w:hint="eastAsia" w:ascii="宋体" w:hAnsi="宋体" w:eastAsia="楷体_GB2312" w:cs="仿宋_GB2312"/>
          <w:kern w:val="0"/>
          <w:sz w:val="24"/>
          <w:szCs w:val="24"/>
        </w:rPr>
        <w:t>联测</w:t>
      </w:r>
      <w:r>
        <w:rPr>
          <w:rFonts w:ascii="宋体" w:hAnsi="宋体" w:eastAsia="楷体_GB2312" w:cs="仿宋_GB2312"/>
          <w:kern w:val="0"/>
          <w:sz w:val="24"/>
          <w:szCs w:val="24"/>
        </w:rPr>
        <w:t>需求，请联系</w:t>
      </w:r>
      <w:r>
        <w:rPr>
          <w:rFonts w:hint="eastAsia" w:ascii="宋体" w:hAnsi="宋体" w:eastAsia="楷体_GB2312" w:cs="仿宋_GB2312"/>
          <w:kern w:val="0"/>
          <w:sz w:val="24"/>
          <w:szCs w:val="24"/>
        </w:rPr>
        <w:t>010-50938762</w:t>
      </w:r>
      <w:r>
        <w:rPr>
          <w:rFonts w:hint="eastAsia" w:ascii="宋体" w:hAnsi="宋体" w:eastAsia="楷体_GB2312" w:cs="仿宋_GB2312"/>
          <w:kern w:val="0"/>
          <w:sz w:val="24"/>
          <w:szCs w:val="24"/>
          <w:lang w:eastAsia="zh-CN"/>
        </w:rPr>
        <w:t>。</w:t>
      </w:r>
    </w:p>
    <w:p>
      <w:pPr>
        <w:pStyle w:val="19"/>
        <w:spacing w:line="360" w:lineRule="auto"/>
        <w:ind w:firstLine="0" w:firstLineChars="0"/>
        <w:rPr>
          <w:rFonts w:hint="eastAsia" w:ascii="宋体" w:hAnsi="宋体" w:eastAsia="楷体_GB2312" w:cs="仿宋_GB2312"/>
          <w:kern w:val="0"/>
          <w:sz w:val="24"/>
          <w:szCs w:val="24"/>
        </w:rPr>
      </w:pPr>
    </w:p>
    <w:p>
      <w:pPr>
        <w:autoSpaceDE w:val="0"/>
        <w:autoSpaceDN w:val="0"/>
        <w:adjustRightInd w:val="0"/>
        <w:spacing w:line="360" w:lineRule="auto"/>
        <w:ind w:left="0" w:firstLine="0"/>
        <w:jc w:val="right"/>
        <w:rPr>
          <w:rFonts w:hint="eastAsia" w:ascii="宋体" w:hAnsi="宋体" w:eastAsia="楷体_GB2312" w:cs="仿宋_GB2312"/>
          <w:kern w:val="0"/>
          <w:sz w:val="24"/>
          <w:szCs w:val="24"/>
          <w:lang w:eastAsia="zh-CN"/>
        </w:rPr>
      </w:pPr>
      <w:r>
        <w:rPr>
          <w:rFonts w:hint="eastAsia" w:ascii="宋体" w:hAnsi="宋体" w:eastAsia="楷体_GB2312" w:cs="仿宋_GB2312"/>
          <w:kern w:val="0"/>
          <w:sz w:val="24"/>
          <w:szCs w:val="24"/>
        </w:rPr>
        <w:t>中国结算基金业务部</w:t>
      </w:r>
      <w:r>
        <w:rPr>
          <w:rFonts w:hint="eastAsia" w:ascii="宋体" w:hAnsi="宋体" w:eastAsia="楷体_GB2312" w:cs="仿宋_GB2312"/>
          <w:kern w:val="0"/>
          <w:sz w:val="24"/>
          <w:szCs w:val="24"/>
          <w:lang w:eastAsia="zh-CN"/>
        </w:rPr>
        <w:t>（资产托管部）</w:t>
      </w:r>
    </w:p>
    <w:p>
      <w:pPr>
        <w:autoSpaceDE w:val="0"/>
        <w:autoSpaceDN w:val="0"/>
        <w:adjustRightInd w:val="0"/>
        <w:spacing w:line="360" w:lineRule="auto"/>
        <w:jc w:val="left"/>
      </w:pPr>
      <w:r>
        <w:rPr>
          <w:rFonts w:ascii="宋体" w:hAnsi="宋体" w:eastAsia="楷体_GB2312" w:cs="仿宋_GB2312"/>
          <w:kern w:val="0"/>
          <w:sz w:val="24"/>
          <w:szCs w:val="24"/>
        </w:rPr>
        <w:t xml:space="preserve">                                </w:t>
      </w:r>
      <w:r>
        <w:rPr>
          <w:rFonts w:hint="eastAsia" w:ascii="宋体" w:hAnsi="宋体" w:eastAsia="楷体_GB2312" w:cs="仿宋_GB2312"/>
          <w:kern w:val="0"/>
          <w:sz w:val="24"/>
          <w:szCs w:val="24"/>
        </w:rPr>
        <w:t>　　　　</w:t>
      </w:r>
      <w:r>
        <w:rPr>
          <w:rFonts w:ascii="宋体" w:hAnsi="宋体" w:eastAsia="楷体_GB2312" w:cs="仿宋_GB2312"/>
          <w:kern w:val="0"/>
          <w:sz w:val="24"/>
          <w:szCs w:val="24"/>
        </w:rPr>
        <w:t xml:space="preserve">    </w:t>
      </w:r>
      <w:r>
        <w:rPr>
          <w:rFonts w:hint="eastAsia" w:ascii="宋体" w:hAnsi="宋体" w:eastAsia="楷体_GB2312" w:cs="仿宋_GB2312"/>
          <w:kern w:val="0"/>
          <w:sz w:val="24"/>
          <w:szCs w:val="24"/>
        </w:rPr>
        <w:t>　二〇二</w:t>
      </w:r>
      <w:r>
        <w:rPr>
          <w:rFonts w:hint="eastAsia" w:ascii="宋体" w:hAnsi="宋体" w:eastAsia="楷体_GB2312" w:cs="仿宋_GB2312"/>
          <w:kern w:val="0"/>
          <w:sz w:val="24"/>
          <w:szCs w:val="24"/>
          <w:lang w:eastAsia="zh-CN"/>
        </w:rPr>
        <w:t>三</w:t>
      </w:r>
      <w:r>
        <w:rPr>
          <w:rFonts w:hint="eastAsia" w:ascii="宋体" w:hAnsi="宋体" w:eastAsia="楷体_GB2312" w:cs="仿宋_GB2312"/>
          <w:kern w:val="0"/>
          <w:sz w:val="24"/>
          <w:szCs w:val="24"/>
        </w:rPr>
        <w:t>年</w:t>
      </w:r>
      <w:r>
        <w:rPr>
          <w:rFonts w:hint="eastAsia" w:ascii="宋体" w:hAnsi="宋体" w:eastAsia="楷体_GB2312" w:cs="仿宋_GB2312"/>
          <w:kern w:val="0"/>
          <w:sz w:val="24"/>
          <w:szCs w:val="24"/>
          <w:lang w:eastAsia="zh-CN"/>
        </w:rPr>
        <w:t>五</w:t>
      </w:r>
      <w:r>
        <w:rPr>
          <w:rFonts w:hint="eastAsia" w:ascii="宋体" w:hAnsi="宋体" w:eastAsia="楷体_GB2312" w:cs="仿宋_GB2312"/>
          <w:kern w:val="0"/>
          <w:sz w:val="24"/>
          <w:szCs w:val="24"/>
        </w:rPr>
        <w:t>月</w:t>
      </w:r>
      <w:r>
        <w:rPr>
          <w:rFonts w:hint="eastAsia" w:ascii="宋体" w:hAnsi="宋体" w:eastAsia="楷体_GB2312" w:cs="仿宋_GB2312"/>
          <w:kern w:val="0"/>
          <w:sz w:val="24"/>
          <w:szCs w:val="24"/>
          <w:lang w:eastAsia="zh-CN"/>
        </w:rPr>
        <w:t>二十五</w:t>
      </w:r>
      <w:r>
        <w:rPr>
          <w:rFonts w:hint="eastAsia" w:ascii="宋体" w:hAnsi="宋体" w:eastAsia="楷体_GB2312" w:cs="仿宋_GB2312"/>
          <w:kern w:val="0"/>
          <w:sz w:val="24"/>
          <w:szCs w:val="24"/>
        </w:rPr>
        <w:t>日</w:t>
      </w:r>
    </w:p>
    <w:p/>
    <w:sectPr>
      <w:pgSz w:w="11906" w:h="16838"/>
      <w:pgMar w:top="1440" w:right="1800" w:bottom="1440" w:left="1800" w:header="851" w:footer="992" w:gutter="0"/>
      <w:cols w:space="425" w:num="1"/>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楷体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59B09E"/>
    <w:multiLevelType w:val="singleLevel"/>
    <w:tmpl w:val="1759B09E"/>
    <w:lvl w:ilvl="0" w:tentative="0">
      <w:start w:val="1"/>
      <w:numFmt w:val="decimal"/>
      <w:lvlText w:val="(%1)"/>
      <w:lvlJc w:val="left"/>
      <w:pPr>
        <w:tabs>
          <w:tab w:val="left" w:pos="420"/>
        </w:tabs>
        <w:ind w:left="845" w:hanging="425"/>
      </w:pPr>
      <w:rPr>
        <w:rFonts w:hint="default"/>
      </w:rPr>
    </w:lvl>
  </w:abstractNum>
  <w:abstractNum w:abstractNumId="1">
    <w:nsid w:val="2E0E9D7D"/>
    <w:multiLevelType w:val="singleLevel"/>
    <w:tmpl w:val="2E0E9D7D"/>
    <w:lvl w:ilvl="0" w:tentative="0">
      <w:start w:val="1"/>
      <w:numFmt w:val="decimal"/>
      <w:lvlText w:val="(%1)"/>
      <w:lvlJc w:val="left"/>
      <w:pPr>
        <w:tabs>
          <w:tab w:val="left" w:pos="420"/>
        </w:tabs>
        <w:ind w:left="845" w:hanging="425"/>
      </w:pPr>
      <w:rPr>
        <w:rFonts w:hint="default"/>
      </w:rPr>
    </w:lvl>
  </w:abstractNum>
  <w:abstractNum w:abstractNumId="2">
    <w:nsid w:val="481936EF"/>
    <w:multiLevelType w:val="multilevel"/>
    <w:tmpl w:val="481936EF"/>
    <w:lvl w:ilvl="0" w:tentative="0">
      <w:start w:val="1"/>
      <w:numFmt w:val="chineseCountingThousand"/>
      <w:lvlText w:val="%1、"/>
      <w:lvlJc w:val="left"/>
      <w:pPr>
        <w:ind w:left="720" w:hanging="720"/>
      </w:pPr>
      <w:rPr>
        <w:rFonts w:hint="eastAsia"/>
        <w:color w:val="0000FF"/>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CC3A49A"/>
    <w:multiLevelType w:val="singleLevel"/>
    <w:tmpl w:val="7CC3A49A"/>
    <w:lvl w:ilvl="0" w:tentative="0">
      <w:start w:val="1"/>
      <w:numFmt w:val="decimal"/>
      <w:lvlText w:val="%1."/>
      <w:lvlJc w:val="left"/>
      <w:pPr>
        <w:ind w:left="425" w:hanging="425"/>
      </w:pPr>
      <w:rPr>
        <w:rFont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05AE0"/>
    <w:rsid w:val="00036BAD"/>
    <w:rsid w:val="00053CF1"/>
    <w:rsid w:val="00067327"/>
    <w:rsid w:val="000839EC"/>
    <w:rsid w:val="000A11D9"/>
    <w:rsid w:val="000B2CE5"/>
    <w:rsid w:val="000B3011"/>
    <w:rsid w:val="000D03A5"/>
    <w:rsid w:val="000E32B9"/>
    <w:rsid w:val="000F0373"/>
    <w:rsid w:val="00103303"/>
    <w:rsid w:val="00105AE0"/>
    <w:rsid w:val="0011049E"/>
    <w:rsid w:val="00117ABF"/>
    <w:rsid w:val="00125878"/>
    <w:rsid w:val="00130D16"/>
    <w:rsid w:val="00135824"/>
    <w:rsid w:val="0014161B"/>
    <w:rsid w:val="00141716"/>
    <w:rsid w:val="001767E2"/>
    <w:rsid w:val="00197AFB"/>
    <w:rsid w:val="001B0478"/>
    <w:rsid w:val="001D301C"/>
    <w:rsid w:val="001F3E49"/>
    <w:rsid w:val="00201A58"/>
    <w:rsid w:val="0020297D"/>
    <w:rsid w:val="00215BA2"/>
    <w:rsid w:val="0023486E"/>
    <w:rsid w:val="00237256"/>
    <w:rsid w:val="002376D0"/>
    <w:rsid w:val="002479F2"/>
    <w:rsid w:val="00271A07"/>
    <w:rsid w:val="002A03EB"/>
    <w:rsid w:val="002C446A"/>
    <w:rsid w:val="002E3BC8"/>
    <w:rsid w:val="002F2DF3"/>
    <w:rsid w:val="00300B3E"/>
    <w:rsid w:val="003021C1"/>
    <w:rsid w:val="00304877"/>
    <w:rsid w:val="00307759"/>
    <w:rsid w:val="003238BC"/>
    <w:rsid w:val="00387980"/>
    <w:rsid w:val="003B2DC1"/>
    <w:rsid w:val="003B3056"/>
    <w:rsid w:val="003B6256"/>
    <w:rsid w:val="003C3C97"/>
    <w:rsid w:val="003D2CDF"/>
    <w:rsid w:val="003D3643"/>
    <w:rsid w:val="003D490F"/>
    <w:rsid w:val="003D6522"/>
    <w:rsid w:val="003E419C"/>
    <w:rsid w:val="00415CCE"/>
    <w:rsid w:val="0043684D"/>
    <w:rsid w:val="00457017"/>
    <w:rsid w:val="00481018"/>
    <w:rsid w:val="00493C5F"/>
    <w:rsid w:val="00496754"/>
    <w:rsid w:val="004A0C39"/>
    <w:rsid w:val="004C03F6"/>
    <w:rsid w:val="004D409B"/>
    <w:rsid w:val="004E7237"/>
    <w:rsid w:val="004F3CAC"/>
    <w:rsid w:val="00514C05"/>
    <w:rsid w:val="00532D7E"/>
    <w:rsid w:val="00537EFB"/>
    <w:rsid w:val="00547217"/>
    <w:rsid w:val="0055553F"/>
    <w:rsid w:val="005675EB"/>
    <w:rsid w:val="00573FE0"/>
    <w:rsid w:val="00574378"/>
    <w:rsid w:val="005B459C"/>
    <w:rsid w:val="005F5C14"/>
    <w:rsid w:val="00661664"/>
    <w:rsid w:val="00667BDC"/>
    <w:rsid w:val="006818A0"/>
    <w:rsid w:val="00681BBC"/>
    <w:rsid w:val="006845E8"/>
    <w:rsid w:val="006A02C2"/>
    <w:rsid w:val="006C4411"/>
    <w:rsid w:val="006E12D7"/>
    <w:rsid w:val="006E4D78"/>
    <w:rsid w:val="006F11BD"/>
    <w:rsid w:val="006F5B64"/>
    <w:rsid w:val="00703B4B"/>
    <w:rsid w:val="00722D78"/>
    <w:rsid w:val="00737118"/>
    <w:rsid w:val="00746A5C"/>
    <w:rsid w:val="0075628B"/>
    <w:rsid w:val="0076772E"/>
    <w:rsid w:val="00780E8A"/>
    <w:rsid w:val="007823E3"/>
    <w:rsid w:val="007926C7"/>
    <w:rsid w:val="007D5A8D"/>
    <w:rsid w:val="007E07A7"/>
    <w:rsid w:val="007F7B2D"/>
    <w:rsid w:val="00814D1D"/>
    <w:rsid w:val="0083623B"/>
    <w:rsid w:val="00845653"/>
    <w:rsid w:val="00851FE5"/>
    <w:rsid w:val="0087758B"/>
    <w:rsid w:val="00884F0A"/>
    <w:rsid w:val="0089039D"/>
    <w:rsid w:val="00890FD2"/>
    <w:rsid w:val="00895E65"/>
    <w:rsid w:val="008A781F"/>
    <w:rsid w:val="008D2A6C"/>
    <w:rsid w:val="008D505E"/>
    <w:rsid w:val="008F255D"/>
    <w:rsid w:val="008F29B1"/>
    <w:rsid w:val="008F6955"/>
    <w:rsid w:val="009058FA"/>
    <w:rsid w:val="009066F0"/>
    <w:rsid w:val="00922CE8"/>
    <w:rsid w:val="00937B1D"/>
    <w:rsid w:val="00942965"/>
    <w:rsid w:val="00957C1D"/>
    <w:rsid w:val="00962F20"/>
    <w:rsid w:val="009756CE"/>
    <w:rsid w:val="00977ED4"/>
    <w:rsid w:val="00983E9B"/>
    <w:rsid w:val="00995282"/>
    <w:rsid w:val="009C10EE"/>
    <w:rsid w:val="009D4B5A"/>
    <w:rsid w:val="009D67FC"/>
    <w:rsid w:val="009E29B3"/>
    <w:rsid w:val="009E5849"/>
    <w:rsid w:val="009E58E7"/>
    <w:rsid w:val="00A051D2"/>
    <w:rsid w:val="00A0553D"/>
    <w:rsid w:val="00A06306"/>
    <w:rsid w:val="00A074EB"/>
    <w:rsid w:val="00A07805"/>
    <w:rsid w:val="00A303CD"/>
    <w:rsid w:val="00A34EB1"/>
    <w:rsid w:val="00A3652C"/>
    <w:rsid w:val="00A3774A"/>
    <w:rsid w:val="00A463A2"/>
    <w:rsid w:val="00A6258A"/>
    <w:rsid w:val="00A83DC8"/>
    <w:rsid w:val="00AB2627"/>
    <w:rsid w:val="00AD5AB1"/>
    <w:rsid w:val="00AD715F"/>
    <w:rsid w:val="00AF30C8"/>
    <w:rsid w:val="00AF31E5"/>
    <w:rsid w:val="00AF6BC8"/>
    <w:rsid w:val="00AF7934"/>
    <w:rsid w:val="00B00534"/>
    <w:rsid w:val="00B104AB"/>
    <w:rsid w:val="00B3245A"/>
    <w:rsid w:val="00B616ED"/>
    <w:rsid w:val="00B823B5"/>
    <w:rsid w:val="00BC5EFA"/>
    <w:rsid w:val="00BD57DA"/>
    <w:rsid w:val="00BD6C78"/>
    <w:rsid w:val="00C15054"/>
    <w:rsid w:val="00C51EF8"/>
    <w:rsid w:val="00C80A79"/>
    <w:rsid w:val="00C83F1C"/>
    <w:rsid w:val="00CA74CA"/>
    <w:rsid w:val="00CA77D7"/>
    <w:rsid w:val="00CB0661"/>
    <w:rsid w:val="00CB4AFA"/>
    <w:rsid w:val="00CB5F69"/>
    <w:rsid w:val="00CC7011"/>
    <w:rsid w:val="00CE607E"/>
    <w:rsid w:val="00D05C0F"/>
    <w:rsid w:val="00D3758D"/>
    <w:rsid w:val="00D4666B"/>
    <w:rsid w:val="00D625E4"/>
    <w:rsid w:val="00D84E2F"/>
    <w:rsid w:val="00D97F76"/>
    <w:rsid w:val="00DA5920"/>
    <w:rsid w:val="00DD4459"/>
    <w:rsid w:val="00DE01DC"/>
    <w:rsid w:val="00DE1418"/>
    <w:rsid w:val="00DF18DA"/>
    <w:rsid w:val="00DF7ABC"/>
    <w:rsid w:val="00E24C2C"/>
    <w:rsid w:val="00E53468"/>
    <w:rsid w:val="00E534E0"/>
    <w:rsid w:val="00E569F3"/>
    <w:rsid w:val="00E618CB"/>
    <w:rsid w:val="00E94206"/>
    <w:rsid w:val="00EA2577"/>
    <w:rsid w:val="00EB3906"/>
    <w:rsid w:val="00EE4E73"/>
    <w:rsid w:val="00F10DB7"/>
    <w:rsid w:val="00F17C1E"/>
    <w:rsid w:val="00F43E94"/>
    <w:rsid w:val="00F55E63"/>
    <w:rsid w:val="00F647BD"/>
    <w:rsid w:val="00F77A9B"/>
    <w:rsid w:val="00F86416"/>
    <w:rsid w:val="00FD6875"/>
    <w:rsid w:val="00FE2330"/>
    <w:rsid w:val="00FE560D"/>
    <w:rsid w:val="00FF0AE9"/>
    <w:rsid w:val="01463EF1"/>
    <w:rsid w:val="016E2A7F"/>
    <w:rsid w:val="02876776"/>
    <w:rsid w:val="02C53AAF"/>
    <w:rsid w:val="02E336E6"/>
    <w:rsid w:val="0449758D"/>
    <w:rsid w:val="064E4FA7"/>
    <w:rsid w:val="07500207"/>
    <w:rsid w:val="075C280D"/>
    <w:rsid w:val="08492F10"/>
    <w:rsid w:val="087B6DE6"/>
    <w:rsid w:val="08921533"/>
    <w:rsid w:val="09F77400"/>
    <w:rsid w:val="0A1D2B98"/>
    <w:rsid w:val="0A6E347F"/>
    <w:rsid w:val="0BB25B94"/>
    <w:rsid w:val="0CC55993"/>
    <w:rsid w:val="0CD30BDE"/>
    <w:rsid w:val="0D6021D9"/>
    <w:rsid w:val="0E0C211A"/>
    <w:rsid w:val="0E2A0C7E"/>
    <w:rsid w:val="0E2E4849"/>
    <w:rsid w:val="0EF415E6"/>
    <w:rsid w:val="100D3B5E"/>
    <w:rsid w:val="10C77E3C"/>
    <w:rsid w:val="117F4CD1"/>
    <w:rsid w:val="125675E9"/>
    <w:rsid w:val="138A0266"/>
    <w:rsid w:val="150E4D7B"/>
    <w:rsid w:val="156031F6"/>
    <w:rsid w:val="159B0DBE"/>
    <w:rsid w:val="17A61F7D"/>
    <w:rsid w:val="17BB68B2"/>
    <w:rsid w:val="17F223AD"/>
    <w:rsid w:val="18461DB2"/>
    <w:rsid w:val="187A0AD5"/>
    <w:rsid w:val="18F84904"/>
    <w:rsid w:val="19104E63"/>
    <w:rsid w:val="193B57C0"/>
    <w:rsid w:val="1AA43811"/>
    <w:rsid w:val="1AB143AA"/>
    <w:rsid w:val="1D002FEC"/>
    <w:rsid w:val="1D3418F9"/>
    <w:rsid w:val="1D415EAA"/>
    <w:rsid w:val="1F152A95"/>
    <w:rsid w:val="20F1662F"/>
    <w:rsid w:val="216D7D3C"/>
    <w:rsid w:val="21A55124"/>
    <w:rsid w:val="21D0768F"/>
    <w:rsid w:val="21E713B5"/>
    <w:rsid w:val="232052EA"/>
    <w:rsid w:val="235B6CA1"/>
    <w:rsid w:val="24004D8E"/>
    <w:rsid w:val="2495508C"/>
    <w:rsid w:val="249A224E"/>
    <w:rsid w:val="25890A2A"/>
    <w:rsid w:val="260B1896"/>
    <w:rsid w:val="26683AFD"/>
    <w:rsid w:val="27C62662"/>
    <w:rsid w:val="27DF4B37"/>
    <w:rsid w:val="28CF1F8D"/>
    <w:rsid w:val="29315346"/>
    <w:rsid w:val="29596032"/>
    <w:rsid w:val="29B05A24"/>
    <w:rsid w:val="2A5D32DD"/>
    <w:rsid w:val="2A971462"/>
    <w:rsid w:val="2AFB0544"/>
    <w:rsid w:val="2B1E0EF3"/>
    <w:rsid w:val="2B1E660F"/>
    <w:rsid w:val="2BBB435B"/>
    <w:rsid w:val="2C9049DE"/>
    <w:rsid w:val="2E4331BE"/>
    <w:rsid w:val="2FC2126D"/>
    <w:rsid w:val="2FE26873"/>
    <w:rsid w:val="302D153E"/>
    <w:rsid w:val="311414DD"/>
    <w:rsid w:val="31584ED2"/>
    <w:rsid w:val="31C1513E"/>
    <w:rsid w:val="32A91D77"/>
    <w:rsid w:val="32D76A62"/>
    <w:rsid w:val="33F40AAF"/>
    <w:rsid w:val="34B06466"/>
    <w:rsid w:val="35191F67"/>
    <w:rsid w:val="361127D1"/>
    <w:rsid w:val="365E323D"/>
    <w:rsid w:val="37DE66D2"/>
    <w:rsid w:val="38184EDE"/>
    <w:rsid w:val="38B75245"/>
    <w:rsid w:val="39B040DE"/>
    <w:rsid w:val="39CD422D"/>
    <w:rsid w:val="3A030479"/>
    <w:rsid w:val="3AC52BC2"/>
    <w:rsid w:val="3B235F26"/>
    <w:rsid w:val="3BC26F34"/>
    <w:rsid w:val="3BE10CFA"/>
    <w:rsid w:val="3C3144B3"/>
    <w:rsid w:val="3E0E3379"/>
    <w:rsid w:val="3E1078BE"/>
    <w:rsid w:val="3FFE1D65"/>
    <w:rsid w:val="40C27220"/>
    <w:rsid w:val="4154442C"/>
    <w:rsid w:val="42E60709"/>
    <w:rsid w:val="433D23E8"/>
    <w:rsid w:val="445A3941"/>
    <w:rsid w:val="476A1528"/>
    <w:rsid w:val="483E1B9E"/>
    <w:rsid w:val="484F15DA"/>
    <w:rsid w:val="49381C5C"/>
    <w:rsid w:val="49AE3673"/>
    <w:rsid w:val="4A0F3F32"/>
    <w:rsid w:val="4A336188"/>
    <w:rsid w:val="4A491736"/>
    <w:rsid w:val="4BF3676D"/>
    <w:rsid w:val="4D2948E8"/>
    <w:rsid w:val="4EF22E55"/>
    <w:rsid w:val="4F1F1A60"/>
    <w:rsid w:val="4FB81957"/>
    <w:rsid w:val="50C45EE0"/>
    <w:rsid w:val="52465EAE"/>
    <w:rsid w:val="52A651AB"/>
    <w:rsid w:val="530502CE"/>
    <w:rsid w:val="53A2307C"/>
    <w:rsid w:val="546D60A0"/>
    <w:rsid w:val="546E04CC"/>
    <w:rsid w:val="5652005C"/>
    <w:rsid w:val="56AD7DF3"/>
    <w:rsid w:val="5793060B"/>
    <w:rsid w:val="58AE5365"/>
    <w:rsid w:val="58F12D10"/>
    <w:rsid w:val="59141F46"/>
    <w:rsid w:val="5924798E"/>
    <w:rsid w:val="5A351A32"/>
    <w:rsid w:val="5C6E4C1C"/>
    <w:rsid w:val="5D96211E"/>
    <w:rsid w:val="5DF752FA"/>
    <w:rsid w:val="5E365DBE"/>
    <w:rsid w:val="607F3988"/>
    <w:rsid w:val="61257471"/>
    <w:rsid w:val="615C578E"/>
    <w:rsid w:val="619D2365"/>
    <w:rsid w:val="61CA15E4"/>
    <w:rsid w:val="62B02923"/>
    <w:rsid w:val="6335285C"/>
    <w:rsid w:val="63BF6A79"/>
    <w:rsid w:val="645C33B7"/>
    <w:rsid w:val="651326EB"/>
    <w:rsid w:val="65961617"/>
    <w:rsid w:val="682B75AE"/>
    <w:rsid w:val="69BB183E"/>
    <w:rsid w:val="69C72A7A"/>
    <w:rsid w:val="69E955BE"/>
    <w:rsid w:val="6B612F83"/>
    <w:rsid w:val="6DB7539D"/>
    <w:rsid w:val="6E3B0192"/>
    <w:rsid w:val="6E862328"/>
    <w:rsid w:val="7062530C"/>
    <w:rsid w:val="711D6A0E"/>
    <w:rsid w:val="71E44C6A"/>
    <w:rsid w:val="726915EC"/>
    <w:rsid w:val="729A355C"/>
    <w:rsid w:val="73113D1E"/>
    <w:rsid w:val="734B3F35"/>
    <w:rsid w:val="7361583D"/>
    <w:rsid w:val="73BA2BC8"/>
    <w:rsid w:val="75305C1A"/>
    <w:rsid w:val="75B846D9"/>
    <w:rsid w:val="76C0645D"/>
    <w:rsid w:val="77545077"/>
    <w:rsid w:val="7884323A"/>
    <w:rsid w:val="79621379"/>
    <w:rsid w:val="7A57124A"/>
    <w:rsid w:val="7AED4571"/>
    <w:rsid w:val="7B3B4375"/>
    <w:rsid w:val="7CD727EF"/>
    <w:rsid w:val="7DA61101"/>
    <w:rsid w:val="7DD20BB5"/>
    <w:rsid w:val="7F9F22BF"/>
    <w:rsid w:val="7FCC61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6"/>
    <w:qFormat/>
    <w:uiPriority w:val="9"/>
    <w:pPr>
      <w:keepNext/>
      <w:keepLines/>
      <w:spacing w:before="480" w:line="360" w:lineRule="auto"/>
      <w:ind w:firstLine="482"/>
      <w:outlineLvl w:val="0"/>
    </w:pPr>
    <w:rPr>
      <w:rFonts w:ascii="Cambria" w:hAnsi="Cambria" w:eastAsia="楷体_GB2312" w:cstheme="majorBidi"/>
      <w:b/>
      <w:bCs/>
      <w:color w:val="365F91"/>
      <w:sz w:val="28"/>
      <w:szCs w:val="28"/>
    </w:rPr>
  </w:style>
  <w:style w:type="paragraph" w:styleId="3">
    <w:name w:val="heading 2"/>
    <w:basedOn w:val="1"/>
    <w:next w:val="1"/>
    <w:link w:val="17"/>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18"/>
    <w:unhideWhenUsed/>
    <w:qFormat/>
    <w:uiPriority w:val="9"/>
    <w:pPr>
      <w:keepNext/>
      <w:keepLines/>
      <w:spacing w:before="260" w:after="260" w:line="416" w:lineRule="auto"/>
      <w:outlineLvl w:val="2"/>
    </w:pPr>
    <w:rPr>
      <w:b/>
      <w:bCs/>
      <w:sz w:val="32"/>
      <w:szCs w:val="3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Document Map"/>
    <w:basedOn w:val="1"/>
    <w:link w:val="23"/>
    <w:semiHidden/>
    <w:unhideWhenUsed/>
    <w:qFormat/>
    <w:uiPriority w:val="99"/>
    <w:rPr>
      <w:rFonts w:ascii="宋体" w:eastAsia="宋体"/>
      <w:sz w:val="18"/>
      <w:szCs w:val="18"/>
    </w:rPr>
  </w:style>
  <w:style w:type="paragraph" w:styleId="6">
    <w:name w:val="annotation text"/>
    <w:basedOn w:val="1"/>
    <w:link w:val="20"/>
    <w:semiHidden/>
    <w:unhideWhenUsed/>
    <w:qFormat/>
    <w:uiPriority w:val="99"/>
    <w:pPr>
      <w:jc w:val="left"/>
    </w:pPr>
  </w:style>
  <w:style w:type="paragraph" w:styleId="7">
    <w:name w:val="Balloon Text"/>
    <w:basedOn w:val="1"/>
    <w:link w:val="22"/>
    <w:semiHidden/>
    <w:unhideWhenUsed/>
    <w:qFormat/>
    <w:uiPriority w:val="99"/>
    <w:rPr>
      <w:sz w:val="18"/>
      <w:szCs w:val="18"/>
    </w:rPr>
  </w:style>
  <w:style w:type="paragraph" w:styleId="8">
    <w:name w:val="footer"/>
    <w:basedOn w:val="1"/>
    <w:link w:val="15"/>
    <w:unhideWhenUsed/>
    <w:qFormat/>
    <w:uiPriority w:val="99"/>
    <w:pPr>
      <w:tabs>
        <w:tab w:val="center" w:pos="4153"/>
        <w:tab w:val="right" w:pos="8306"/>
      </w:tabs>
      <w:snapToGrid w:val="0"/>
      <w:jc w:val="left"/>
    </w:pPr>
    <w:rPr>
      <w:sz w:val="18"/>
      <w:szCs w:val="18"/>
    </w:rPr>
  </w:style>
  <w:style w:type="paragraph" w:styleId="9">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annotation subject"/>
    <w:basedOn w:val="6"/>
    <w:next w:val="6"/>
    <w:link w:val="21"/>
    <w:semiHidden/>
    <w:unhideWhenUsed/>
    <w:qFormat/>
    <w:uiPriority w:val="99"/>
    <w:rPr>
      <w:b/>
      <w:bCs/>
    </w:rPr>
  </w:style>
  <w:style w:type="character" w:styleId="13">
    <w:name w:val="annotation reference"/>
    <w:basedOn w:val="12"/>
    <w:semiHidden/>
    <w:unhideWhenUsed/>
    <w:qFormat/>
    <w:uiPriority w:val="99"/>
    <w:rPr>
      <w:sz w:val="21"/>
      <w:szCs w:val="21"/>
    </w:rPr>
  </w:style>
  <w:style w:type="character" w:customStyle="1" w:styleId="14">
    <w:name w:val="页眉 Char"/>
    <w:basedOn w:val="12"/>
    <w:link w:val="9"/>
    <w:qFormat/>
    <w:uiPriority w:val="99"/>
    <w:rPr>
      <w:sz w:val="18"/>
      <w:szCs w:val="18"/>
    </w:rPr>
  </w:style>
  <w:style w:type="character" w:customStyle="1" w:styleId="15">
    <w:name w:val="页脚 Char"/>
    <w:basedOn w:val="12"/>
    <w:link w:val="8"/>
    <w:qFormat/>
    <w:uiPriority w:val="99"/>
    <w:rPr>
      <w:sz w:val="18"/>
      <w:szCs w:val="18"/>
    </w:rPr>
  </w:style>
  <w:style w:type="character" w:customStyle="1" w:styleId="16">
    <w:name w:val="标题 1 Char"/>
    <w:basedOn w:val="12"/>
    <w:link w:val="2"/>
    <w:qFormat/>
    <w:uiPriority w:val="9"/>
    <w:rPr>
      <w:rFonts w:ascii="Cambria" w:hAnsi="Cambria" w:eastAsia="楷体_GB2312" w:cstheme="majorBidi"/>
      <w:b/>
      <w:bCs/>
      <w:color w:val="365F91"/>
      <w:sz w:val="28"/>
      <w:szCs w:val="28"/>
    </w:rPr>
  </w:style>
  <w:style w:type="character" w:customStyle="1" w:styleId="17">
    <w:name w:val="标题 2 Char"/>
    <w:basedOn w:val="12"/>
    <w:link w:val="3"/>
    <w:qFormat/>
    <w:uiPriority w:val="0"/>
    <w:rPr>
      <w:rFonts w:asciiTheme="majorHAnsi" w:hAnsiTheme="majorHAnsi" w:eastAsiaTheme="majorEastAsia" w:cstheme="majorBidi"/>
      <w:b/>
      <w:bCs/>
      <w:sz w:val="32"/>
      <w:szCs w:val="32"/>
    </w:rPr>
  </w:style>
  <w:style w:type="character" w:customStyle="1" w:styleId="18">
    <w:name w:val="标题 3 Char"/>
    <w:basedOn w:val="12"/>
    <w:link w:val="4"/>
    <w:qFormat/>
    <w:uiPriority w:val="9"/>
    <w:rPr>
      <w:b/>
      <w:bCs/>
      <w:sz w:val="32"/>
      <w:szCs w:val="32"/>
    </w:rPr>
  </w:style>
  <w:style w:type="paragraph" w:styleId="19">
    <w:name w:val="List Paragraph"/>
    <w:basedOn w:val="1"/>
    <w:qFormat/>
    <w:uiPriority w:val="34"/>
    <w:pPr>
      <w:ind w:firstLine="420" w:firstLineChars="200"/>
    </w:pPr>
  </w:style>
  <w:style w:type="character" w:customStyle="1" w:styleId="20">
    <w:name w:val="批注文字 Char"/>
    <w:basedOn w:val="12"/>
    <w:link w:val="6"/>
    <w:semiHidden/>
    <w:qFormat/>
    <w:uiPriority w:val="99"/>
  </w:style>
  <w:style w:type="character" w:customStyle="1" w:styleId="21">
    <w:name w:val="批注主题 Char"/>
    <w:basedOn w:val="20"/>
    <w:link w:val="10"/>
    <w:semiHidden/>
    <w:qFormat/>
    <w:uiPriority w:val="99"/>
    <w:rPr>
      <w:b/>
      <w:bCs/>
    </w:rPr>
  </w:style>
  <w:style w:type="character" w:customStyle="1" w:styleId="22">
    <w:name w:val="批注框文本 Char"/>
    <w:basedOn w:val="12"/>
    <w:link w:val="7"/>
    <w:semiHidden/>
    <w:qFormat/>
    <w:uiPriority w:val="99"/>
    <w:rPr>
      <w:sz w:val="18"/>
      <w:szCs w:val="18"/>
    </w:rPr>
  </w:style>
  <w:style w:type="character" w:customStyle="1" w:styleId="23">
    <w:name w:val="文档结构图 Char"/>
    <w:basedOn w:val="12"/>
    <w:link w:val="5"/>
    <w:semiHidden/>
    <w:qFormat/>
    <w:uiPriority w:val="99"/>
    <w:rPr>
      <w:rFonts w:ascii="宋体" w:eastAsia="宋体"/>
      <w:sz w:val="18"/>
      <w:szCs w:val="18"/>
    </w:rPr>
  </w:style>
  <w:style w:type="paragraph" w:customStyle="1" w:styleId="24">
    <w:name w:val="SD&amp;C正文"/>
    <w:basedOn w:val="1"/>
    <w:qFormat/>
    <w:uiPriority w:val="0"/>
    <w:pPr>
      <w:spacing w:line="360" w:lineRule="exact"/>
      <w:ind w:firstLine="200" w:firstLineChars="200"/>
    </w:pPr>
    <w:rPr>
      <w:rFonts w:ascii="楷体_GB2312" w:hAnsi="Times New Roman" w:eastAsia="楷体_GB2312" w:cs="Times New Roman"/>
      <w:szCs w:val="20"/>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microsoft.com/office/2006/relationships/keyMapCustomizations" Target="customizations.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03AF030-FA14-451E-9396-01FC53B7D38E}">
  <ds:schemaRefs/>
</ds:datastoreItem>
</file>

<file path=docProps/app.xml><?xml version="1.0" encoding="utf-8"?>
<Properties xmlns="http://schemas.openxmlformats.org/officeDocument/2006/extended-properties" xmlns:vt="http://schemas.openxmlformats.org/officeDocument/2006/docPropsVTypes">
  <Template>Normal.dotm</Template>
  <Company> </Company>
  <Pages>4</Pages>
  <Words>360</Words>
  <Characters>2052</Characters>
  <Lines>17</Lines>
  <Paragraphs>4</Paragraphs>
  <TotalTime>21</TotalTime>
  <ScaleCrop>false</ScaleCrop>
  <LinksUpToDate>false</LinksUpToDate>
  <CharactersWithSpaces>2408</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2017-10-10T07:58:00Z</dcterms:created>
  <dc:creator>CN=王轩/OU=基金业务部/OU=公司总部/O=ChinaClear</dc:creator>
  <cp:lastModifiedBy>王新博</cp:lastModifiedBy>
  <dcterms:modified xsi:type="dcterms:W3CDTF">2023-05-25T02:51:29Z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