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AC3B5">
      <w:pPr>
        <w:pStyle w:val="2"/>
        <w:numPr>
          <w:ilvl w:val="-1"/>
          <w:numId w:val="0"/>
        </w:numPr>
        <w:jc w:val="center"/>
        <w:outlineLvl w:val="0"/>
        <w:rPr>
          <w:rFonts w:hint="default" w:ascii="Times New Roman" w:hAnsi="Times New Roman" w:cs="Times New Roman"/>
          <w:color w:val="auto"/>
          <w:sz w:val="36"/>
          <w:szCs w:val="36"/>
        </w:rPr>
      </w:pPr>
      <w:r>
        <w:rPr>
          <w:rFonts w:hint="default" w:ascii="Times New Roman" w:hAnsi="Times New Roman" w:cs="Times New Roman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36"/>
          <w:szCs w:val="36"/>
        </w:rPr>
        <w:t>中国结算TA系统</w:t>
      </w:r>
      <w:r>
        <w:rPr>
          <w:rFonts w:hint="default" w:ascii="Times New Roman" w:hAnsi="Times New Roman" w:cs="Times New Roman"/>
          <w:color w:val="auto"/>
          <w:sz w:val="36"/>
          <w:szCs w:val="36"/>
          <w:lang w:eastAsia="zh-CN"/>
        </w:rPr>
        <w:t>支持深</w:t>
      </w:r>
      <w:r>
        <w:rPr>
          <w:rFonts w:hint="default" w:ascii="Times New Roman" w:hAnsi="Times New Roman" w:cs="Times New Roman"/>
          <w:color w:val="auto"/>
          <w:sz w:val="36"/>
          <w:szCs w:val="36"/>
        </w:rPr>
        <w:t>证REITs</w:t>
      </w:r>
      <w:r>
        <w:rPr>
          <w:rFonts w:hint="default" w:ascii="Times New Roman" w:hAnsi="Times New Roman" w:cs="Times New Roman"/>
          <w:color w:val="auto"/>
          <w:sz w:val="36"/>
          <w:szCs w:val="36"/>
          <w:lang w:eastAsia="zh-CN"/>
        </w:rPr>
        <w:t>非定向扩募业务</w:t>
      </w:r>
      <w:r>
        <w:rPr>
          <w:rFonts w:hint="default" w:ascii="Times New Roman" w:hAnsi="Times New Roman" w:cs="Times New Roman"/>
          <w:color w:val="auto"/>
          <w:sz w:val="36"/>
          <w:szCs w:val="36"/>
        </w:rPr>
        <w:t>技术指引</w:t>
      </w:r>
    </w:p>
    <w:p w14:paraId="15A11335">
      <w:pPr>
        <w:pStyle w:val="2"/>
        <w:spacing w:before="200"/>
        <w:ind w:firstLine="0"/>
        <w:jc w:val="left"/>
        <w:outlineLvl w:val="9"/>
        <w:rPr>
          <w:rFonts w:hint="default" w:ascii="Times New Roman" w:hAnsi="Times New Roman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sz w:val="32"/>
          <w:szCs w:val="32"/>
          <w:lang w:eastAsia="zh-CN"/>
        </w:rPr>
        <w:t>业务方案概述</w:t>
      </w:r>
    </w:p>
    <w:p w14:paraId="10EC3A09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根据相关业务规则，公募REITs扩募可以向特定对象发售（以下简称“定向扩募”），也可以向不特定对象发售（以下简称“非定向扩募”）。</w:t>
      </w:r>
    </w:p>
    <w:p w14:paraId="5823C8D6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非定向扩募包含向原公募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REITs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持有人配售份额（以下简称“向原持有人配售业务”）和向不特定对象募集（以下简称“公开发售业务”）两种方式。针对每种非定向扩募方式，管理人需要新发行一只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扩募基金代码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”用于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业务处理。</w:t>
      </w:r>
    </w:p>
    <w:p w14:paraId="50CBF000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对于场外扩募，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在“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扩募基金代码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”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初始份额登记后，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TA系统将在同一批次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自动记减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扩募基金代码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”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初始登记份额，并等值记增为该产品的“首发基金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代码”份额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；对于场内扩募，“扩募基金代码”仅用于TA系统与管理人数据交互，TA系统与场内数据交互使用“首发基金代码”，基金代码的转换由TA系统完成，最终由中国结算深圳分公司完成“首发基金代码”的份额登记并经由TA系统将登记结果发送至管理人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。</w:t>
      </w:r>
    </w:p>
    <w:p w14:paraId="531F8CB9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定向扩募新增份额和非定向扩募新增份额在上市前均不可用。</w:t>
      </w:r>
    </w:p>
    <w:p w14:paraId="5722B5EA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</w:pPr>
    </w:p>
    <w:p w14:paraId="59080A89">
      <w:pPr>
        <w:pStyle w:val="2"/>
        <w:spacing w:before="200"/>
        <w:ind w:firstLine="0"/>
        <w:jc w:val="left"/>
        <w:outlineLvl w:val="9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  <w:lang w:eastAsia="zh-CN"/>
        </w:rPr>
        <w:t>处理逻辑</w:t>
      </w:r>
      <w:r>
        <w:rPr>
          <w:rFonts w:hint="default" w:ascii="Times New Roman" w:hAnsi="Times New Roman" w:cs="Times New Roman"/>
          <w:sz w:val="32"/>
          <w:szCs w:val="32"/>
        </w:rPr>
        <w:t>说明</w:t>
      </w:r>
    </w:p>
    <w:p w14:paraId="6EBC752D">
      <w:pPr>
        <w:pStyle w:val="3"/>
        <w:bidi w:val="0"/>
        <w:spacing w:before="100" w:after="100" w:line="240" w:lineRule="auto"/>
        <w:ind w:left="839" w:leftChars="0" w:hanging="42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交易处理</w:t>
      </w:r>
    </w:p>
    <w:p w14:paraId="6ED988C9">
      <w:pPr>
        <w:pStyle w:val="4"/>
        <w:bidi w:val="0"/>
        <w:spacing w:before="100" w:after="100"/>
        <w:ind w:left="23" w:firstLine="403"/>
        <w:rPr>
          <w:rFonts w:hint="default" w:ascii="Times New Roman" w:hAnsi="Times New Roman" w:cs="Times New Roman" w:eastAsiaTheme="minorEastAsia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32"/>
          <w:szCs w:val="32"/>
          <w:lang w:eastAsia="zh-CN"/>
        </w:rPr>
        <w:t>场外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交易处理</w:t>
      </w:r>
    </w:p>
    <w:p w14:paraId="72751DEC">
      <w:pPr>
        <w:autoSpaceDE w:val="0"/>
        <w:autoSpaceDN w:val="0"/>
        <w:bidi w:val="0"/>
        <w:adjustRightInd w:val="0"/>
        <w:spacing w:before="100" w:after="100" w:line="360" w:lineRule="auto"/>
        <w:ind w:left="23" w:firstLine="480" w:firstLineChars="200"/>
        <w:jc w:val="left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TA系统按照深证REITs场外认购业务处理流程与管理人完成数据交互。但在“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扩募基金代码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”完成初始份额登记的当批次，TA系统将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自动记减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扩募基金代码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”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初始登记份额、等值记增该产品的“首发基金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代码”份额，并向管理人和代理人发送“扩募基金代码”的强减业务回报和“首发基金代码”的强增业务回报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。</w:t>
      </w:r>
    </w:p>
    <w:p w14:paraId="58CC415B">
      <w:pPr>
        <w:pStyle w:val="4"/>
        <w:bidi w:val="0"/>
        <w:spacing w:before="100" w:after="100"/>
        <w:ind w:left="23" w:firstLine="403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场内交易处理</w:t>
      </w:r>
    </w:p>
    <w:p w14:paraId="5A63BFF1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场内将新增2个业务代码分别代表“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向原持有人配售业务”和“公开发售业务”非定向扩募业务。</w:t>
      </w:r>
    </w:p>
    <w:p w14:paraId="79A2AA6F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中国结算深圳分公司按“首发基金代码+新业务代码”的方式向TA系统报送非定向扩募申请以及拉单结果数据，TA系统将其转成“扩募基金代码+认购业务”，并按照深证REITs认购业务处理流程与管理人完成数据交互。管理人需支持对深证LOF（REITs）场内认购进行确认的功能。</w:t>
      </w:r>
    </w:p>
    <w:p w14:paraId="4B9DC45B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在场内份额登记日，中国结算深圳分公司直接按“首发基金代码”完成扩募基金份额登记后，将日终场内份额登记情况发送TA系统。对于开通了深证LOF场内份额变动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通知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功能的管理人，TA系统计算投资者当日日终持有“首发基金代码”场内份额与上一工作日日终持有份额的差额，并生成“首发基金代码”场内份额强增业务，经53文件通知管理人。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次日，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TA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系统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向管理人发送最终场内份额登记结果。</w:t>
      </w:r>
    </w:p>
    <w:p w14:paraId="16D8FECB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请注意，管理人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会通过53文件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收到“扩募基金代码”场内认购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的待确认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和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场内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拉单结果，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但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场内扩募份额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由中国结算深圳分公司在场内份额登记日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直接登记在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首发基金代码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”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上，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不存在类似于场外的份额先登记于“扩募基金代码”，再由TA系统自动发起强增、强减将份额转登记至“首发基金代码”的过程，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因此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管理人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并不会收到“扩募基金代码”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场内份额登记数据。</w:t>
      </w:r>
    </w:p>
    <w:p w14:paraId="5B6A9D9F">
      <w:pPr>
        <w:pStyle w:val="3"/>
        <w:autoSpaceDE w:val="0"/>
        <w:autoSpaceDN w:val="0"/>
        <w:adjustRightInd w:val="0"/>
        <w:spacing w:before="100" w:after="100" w:line="360" w:lineRule="auto"/>
        <w:ind w:left="839" w:hanging="420"/>
        <w:jc w:val="left"/>
        <w:rPr>
          <w:rFonts w:hint="default" w:ascii="Times New Roman" w:hAnsi="Times New Roman" w:cs="Times New Roman" w:eastAsiaTheme="majorEastAsia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资金清算</w:t>
      </w:r>
    </w:p>
    <w:p w14:paraId="32504EDF">
      <w:pPr>
        <w:ind w:firstLine="480" w:firstLineChars="200"/>
        <w:rPr>
          <w:rFonts w:hint="default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TA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val="en-US" w:eastAsia="zh-CN"/>
        </w:rPr>
        <w:t>系统按照深证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REITs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val="en-US" w:eastAsia="zh-CN"/>
        </w:rPr>
        <w:t>相关规则完成对“扩募基金代码”场外交易的资金清算，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</w:rPr>
        <w:t>场内非定向扩募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eastAsia="zh-CN"/>
        </w:rPr>
        <w:t>业务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</w:rPr>
        <w:t>由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eastAsia="zh-CN"/>
        </w:rPr>
        <w:t>中国结算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</w:rPr>
        <w:t>深圳分公司组织清算交收。</w:t>
      </w:r>
    </w:p>
    <w:p w14:paraId="66A058B6">
      <w:pPr>
        <w:pStyle w:val="3"/>
        <w:autoSpaceDE w:val="0"/>
        <w:autoSpaceDN w:val="0"/>
        <w:adjustRightInd w:val="0"/>
        <w:spacing w:before="100" w:after="100" w:line="360" w:lineRule="auto"/>
        <w:ind w:left="839" w:hanging="420"/>
        <w:jc w:val="left"/>
        <w:rPr>
          <w:rFonts w:hint="default" w:ascii="Times New Roman" w:hAnsi="Times New Roman" w:cs="Times New Roman" w:eastAsiaTheme="majorEastAsia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cs="Times New Roman" w:eastAsiaTheme="majorEastAsia"/>
          <w:b/>
          <w:bCs/>
          <w:color w:val="auto"/>
          <w:kern w:val="2"/>
          <w:sz w:val="32"/>
          <w:szCs w:val="32"/>
          <w:lang w:val="en-US" w:eastAsia="zh-CN" w:bidi="ar-SA"/>
        </w:rPr>
        <w:t>特殊功能点说明</w:t>
      </w:r>
    </w:p>
    <w:p w14:paraId="414064B7">
      <w:pPr>
        <w:numPr>
          <w:ilvl w:val="-1"/>
          <w:numId w:val="0"/>
        </w:numPr>
        <w:autoSpaceDE w:val="0"/>
        <w:autoSpaceDN w:val="0"/>
        <w:adjustRightInd w:val="0"/>
        <w:spacing w:line="360" w:lineRule="auto"/>
        <w:ind w:left="0" w:leftChars="0"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1.关于“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扩募基金代码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”初始份额登记后，TA系统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自动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进行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记减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扩募基金代码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”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初始登记份额、等值记增该产品的“首发基金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代码”份额，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处理时生成的强增和强减业务回报中部分字段赋值逻辑如下：</w:t>
      </w:r>
    </w:p>
    <w:p w14:paraId="0EA68932">
      <w:pPr>
        <w:numPr>
          <w:ilvl w:val="-1"/>
          <w:numId w:val="0"/>
        </w:numPr>
        <w:autoSpaceDE w:val="0"/>
        <w:autoSpaceDN w:val="0"/>
        <w:adjustRightInd w:val="0"/>
        <w:spacing w:line="360" w:lineRule="auto"/>
        <w:ind w:left="0" w:leftChars="0"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1）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强减业务回报中“对方基金代码”字段赋值为“首发基金代码”；</w:t>
      </w:r>
    </w:p>
    <w:p w14:paraId="2A6B510A">
      <w:pPr>
        <w:numPr>
          <w:ilvl w:val="-1"/>
          <w:numId w:val="0"/>
        </w:numPr>
        <w:autoSpaceDE w:val="0"/>
        <w:autoSpaceDN w:val="0"/>
        <w:adjustRightInd w:val="0"/>
        <w:spacing w:line="360" w:lineRule="auto"/>
        <w:ind w:left="0" w:leftChars="0"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2）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强增业务中“对方基金代码”字段赋值“扩募基金代码”；</w:t>
      </w:r>
    </w:p>
    <w:p w14:paraId="26968519">
      <w:pPr>
        <w:numPr>
          <w:ilvl w:val="-1"/>
          <w:numId w:val="0"/>
        </w:numPr>
        <w:autoSpaceDE w:val="0"/>
        <w:autoSpaceDN w:val="0"/>
        <w:adjustRightInd w:val="0"/>
        <w:spacing w:line="360" w:lineRule="auto"/>
        <w:ind w:left="0" w:leftChars="0"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3）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“份额强制调整标志”字段赋值为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“0-柜台业务”。</w:t>
      </w:r>
    </w:p>
    <w:p w14:paraId="524CBEF3">
      <w:pPr>
        <w:numPr>
          <w:ilvl w:val="-1"/>
          <w:numId w:val="0"/>
        </w:numPr>
        <w:autoSpaceDE w:val="0"/>
        <w:autoSpaceDN w:val="0"/>
        <w:adjustRightInd w:val="0"/>
        <w:spacing w:line="360" w:lineRule="auto"/>
        <w:ind w:left="0" w:leftChars="0"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2.TA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val="en-US" w:eastAsia="zh-CN"/>
        </w:rPr>
        <w:t>系统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eastAsia="zh-CN"/>
        </w:rPr>
        <w:t>不再支持管理人通过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83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val="en-US" w:eastAsia="zh-CN"/>
        </w:rPr>
        <w:t>文件发起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eastAsia="zh-CN"/>
        </w:rPr>
        <w:t>锁定和解锁业务，未来管理人仅可通过中国结算柜台对投资者份额进行锁定和解锁。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对于扩募所得份额（首发基金代码），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TA系统将在份额登记时对场外份额自动进行锁定，上市时自动解锁（因战投限售等</w:t>
      </w: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规定进行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柜台锁定的份额除外）。</w:t>
      </w:r>
    </w:p>
    <w:p w14:paraId="3CFA40F8">
      <w:pPr>
        <w:numPr>
          <w:ilvl w:val="-1"/>
          <w:numId w:val="0"/>
        </w:numPr>
        <w:autoSpaceDE w:val="0"/>
        <w:autoSpaceDN w:val="0"/>
        <w:adjustRightInd w:val="0"/>
        <w:spacing w:line="360" w:lineRule="auto"/>
        <w:ind w:left="0" w:leftChars="0" w:firstLine="480" w:firstLineChars="200"/>
        <w:jc w:val="lef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val="en-US" w:eastAsia="zh-CN"/>
        </w:rPr>
        <w:t>新版管理人接口参见《中国结算开放式基金登记结算系统管理人数据接口规范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V1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>20241218</w:t>
      </w:r>
      <w:r>
        <w:rPr>
          <w:rFonts w:hint="eastAsia" w:ascii="宋体" w:hAnsi="宋体" w:eastAsia="楷体_GB2312" w:cs="仿宋_GB2312"/>
          <w:color w:val="auto"/>
          <w:kern w:val="0"/>
          <w:sz w:val="24"/>
          <w:szCs w:val="24"/>
          <w:lang w:val="en-US" w:eastAsia="zh-CN"/>
        </w:rPr>
        <w:t>修订版》。</w:t>
      </w:r>
    </w:p>
    <w:p w14:paraId="3140BCAD">
      <w:pPr>
        <w:pStyle w:val="2"/>
        <w:ind w:firstLine="0"/>
        <w:outlineLvl w:val="0"/>
        <w:rPr>
          <w:rFonts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联系</w:t>
      </w:r>
      <w:r>
        <w:rPr>
          <w:rFonts w:ascii="Times New Roman" w:hAnsi="Times New Roman" w:cs="Times New Roman"/>
        </w:rPr>
        <w:t>方式</w:t>
      </w:r>
    </w:p>
    <w:p w14:paraId="1B109697">
      <w:pPr>
        <w:pStyle w:val="25"/>
        <w:spacing w:line="360" w:lineRule="auto"/>
        <w:ind w:firstLine="420" w:firstLineChars="0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本项目择期将由深交所统一组织市场参与机构开展联合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</w:rPr>
        <w:t>测试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、有测试需求的参与机构请提前联系深交所进行报名，同时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</w:rPr>
        <w:t>各参与人</w:t>
      </w:r>
      <w:r>
        <w:rPr>
          <w:rFonts w:ascii="Times New Roman" w:hAnsi="Times New Roman" w:eastAsia="楷体_GB2312" w:cs="Times New Roman"/>
          <w:color w:val="auto"/>
          <w:kern w:val="0"/>
          <w:sz w:val="24"/>
          <w:szCs w:val="24"/>
        </w:rPr>
        <w:t>如有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</w:rPr>
        <w:t>与中国</w:t>
      </w:r>
      <w:r>
        <w:rPr>
          <w:rFonts w:ascii="Times New Roman" w:hAnsi="Times New Roman" w:eastAsia="楷体_GB2312" w:cs="Times New Roman"/>
          <w:color w:val="auto"/>
          <w:kern w:val="0"/>
          <w:sz w:val="24"/>
          <w:szCs w:val="24"/>
        </w:rPr>
        <w:t>结算TA系统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</w:rPr>
        <w:t>联测</w:t>
      </w:r>
      <w:r>
        <w:rPr>
          <w:rFonts w:ascii="Times New Roman" w:hAnsi="Times New Roman" w:eastAsia="楷体_GB2312" w:cs="Times New Roman"/>
          <w:color w:val="auto"/>
          <w:kern w:val="0"/>
          <w:sz w:val="24"/>
          <w:szCs w:val="24"/>
        </w:rPr>
        <w:t>需求，请联系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</w:rPr>
        <w:t>010-50938762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。</w:t>
      </w:r>
    </w:p>
    <w:p w14:paraId="7411B8C5">
      <w:pPr>
        <w:pStyle w:val="25"/>
        <w:spacing w:line="360" w:lineRule="auto"/>
        <w:ind w:firstLine="0" w:firstLineChars="0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</w:rPr>
      </w:pPr>
    </w:p>
    <w:p w14:paraId="5BD25A08">
      <w:pPr>
        <w:autoSpaceDE w:val="0"/>
        <w:autoSpaceDN w:val="0"/>
        <w:adjustRightInd w:val="0"/>
        <w:spacing w:line="360" w:lineRule="auto"/>
        <w:ind w:left="0" w:firstLine="0"/>
        <w:jc w:val="right"/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</w:rPr>
        <w:t>中国结算基金业务部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eastAsia="zh-CN"/>
        </w:rPr>
        <w:t>（资产托管部）</w:t>
      </w:r>
    </w:p>
    <w:p w14:paraId="612160A3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eastAsia="楷体_GB2312" w:cs="Times New Roman"/>
          <w:color w:val="auto"/>
          <w:kern w:val="0"/>
          <w:sz w:val="24"/>
          <w:szCs w:val="24"/>
        </w:rPr>
        <w:t xml:space="preserve">                                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</w:rPr>
        <w:t>　　　　</w:t>
      </w:r>
      <w:r>
        <w:rPr>
          <w:rFonts w:ascii="Times New Roman" w:hAnsi="Times New Roman" w:eastAsia="楷体_GB2312" w:cs="Times New Roman"/>
          <w:color w:val="auto"/>
          <w:kern w:val="0"/>
          <w:sz w:val="24"/>
          <w:szCs w:val="24"/>
        </w:rPr>
        <w:t xml:space="preserve">   </w:t>
      </w:r>
      <w:bookmarkStart w:id="0" w:name="_GoBack"/>
      <w:bookmarkEnd w:id="0"/>
      <w:r>
        <w:rPr>
          <w:rFonts w:hint="default" w:ascii="Times New Roman" w:hAnsi="Times New Roman" w:eastAsia="楷体_GB2312" w:cs="Times New Roman"/>
          <w:color w:val="auto"/>
          <w:kern w:val="0"/>
          <w:sz w:val="24"/>
          <w:szCs w:val="24"/>
          <w:lang w:val="en-US" w:eastAsia="zh-CN"/>
        </w:rPr>
        <w:t xml:space="preserve">  </w:t>
      </w:r>
    </w:p>
    <w:p w14:paraId="74A12CC5">
      <w:pPr>
        <w:rPr>
          <w:rFonts w:ascii="Times New Roman" w:hAnsi="Times New Roman" w:cs="Times New Roman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6F752"/>
    <w:multiLevelType w:val="multilevel"/>
    <w:tmpl w:val="FCD6F752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-820" w:firstLine="40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AE0"/>
    <w:rsid w:val="00036BAD"/>
    <w:rsid w:val="00053CF1"/>
    <w:rsid w:val="00067327"/>
    <w:rsid w:val="000839EC"/>
    <w:rsid w:val="000A11D9"/>
    <w:rsid w:val="000B2CE5"/>
    <w:rsid w:val="000B3011"/>
    <w:rsid w:val="000D03A5"/>
    <w:rsid w:val="000E32B9"/>
    <w:rsid w:val="000F0373"/>
    <w:rsid w:val="00103303"/>
    <w:rsid w:val="00105AE0"/>
    <w:rsid w:val="0011049E"/>
    <w:rsid w:val="00117ABF"/>
    <w:rsid w:val="00125878"/>
    <w:rsid w:val="00130D16"/>
    <w:rsid w:val="00135824"/>
    <w:rsid w:val="0014161B"/>
    <w:rsid w:val="00141716"/>
    <w:rsid w:val="001767E2"/>
    <w:rsid w:val="00197AFB"/>
    <w:rsid w:val="001B0478"/>
    <w:rsid w:val="001D301C"/>
    <w:rsid w:val="001F3E49"/>
    <w:rsid w:val="00201A58"/>
    <w:rsid w:val="0020297D"/>
    <w:rsid w:val="00215BA2"/>
    <w:rsid w:val="0023486E"/>
    <w:rsid w:val="00237256"/>
    <w:rsid w:val="002376D0"/>
    <w:rsid w:val="002479F2"/>
    <w:rsid w:val="00271A07"/>
    <w:rsid w:val="002A03EB"/>
    <w:rsid w:val="002C446A"/>
    <w:rsid w:val="002E3BC8"/>
    <w:rsid w:val="002F2DF3"/>
    <w:rsid w:val="00300B3E"/>
    <w:rsid w:val="003021C1"/>
    <w:rsid w:val="00304877"/>
    <w:rsid w:val="00307759"/>
    <w:rsid w:val="003238BC"/>
    <w:rsid w:val="00387980"/>
    <w:rsid w:val="003B2DC1"/>
    <w:rsid w:val="003B3056"/>
    <w:rsid w:val="003B6256"/>
    <w:rsid w:val="003C3C97"/>
    <w:rsid w:val="003D2CDF"/>
    <w:rsid w:val="003D3643"/>
    <w:rsid w:val="003D490F"/>
    <w:rsid w:val="003D6522"/>
    <w:rsid w:val="003E419C"/>
    <w:rsid w:val="00415CCE"/>
    <w:rsid w:val="0043684D"/>
    <w:rsid w:val="00457017"/>
    <w:rsid w:val="00481018"/>
    <w:rsid w:val="00493C5F"/>
    <w:rsid w:val="00496754"/>
    <w:rsid w:val="004A0C39"/>
    <w:rsid w:val="004C03F6"/>
    <w:rsid w:val="004D409B"/>
    <w:rsid w:val="004E7237"/>
    <w:rsid w:val="004F3CAC"/>
    <w:rsid w:val="00514C05"/>
    <w:rsid w:val="00532D7E"/>
    <w:rsid w:val="00537EFB"/>
    <w:rsid w:val="00547217"/>
    <w:rsid w:val="0055553F"/>
    <w:rsid w:val="005675EB"/>
    <w:rsid w:val="00573FE0"/>
    <w:rsid w:val="00574378"/>
    <w:rsid w:val="005B459C"/>
    <w:rsid w:val="005F5C14"/>
    <w:rsid w:val="00661664"/>
    <w:rsid w:val="00667BDC"/>
    <w:rsid w:val="006818A0"/>
    <w:rsid w:val="00681BBC"/>
    <w:rsid w:val="006845E8"/>
    <w:rsid w:val="006A02C2"/>
    <w:rsid w:val="006C4411"/>
    <w:rsid w:val="006E12D7"/>
    <w:rsid w:val="006E4D78"/>
    <w:rsid w:val="006F11BD"/>
    <w:rsid w:val="006F5B64"/>
    <w:rsid w:val="00703B4B"/>
    <w:rsid w:val="00722D78"/>
    <w:rsid w:val="00737118"/>
    <w:rsid w:val="00746A5C"/>
    <w:rsid w:val="0075628B"/>
    <w:rsid w:val="0076772E"/>
    <w:rsid w:val="00780E8A"/>
    <w:rsid w:val="007823E3"/>
    <w:rsid w:val="007926C7"/>
    <w:rsid w:val="007D5A8D"/>
    <w:rsid w:val="007E07A7"/>
    <w:rsid w:val="007F7B2D"/>
    <w:rsid w:val="00814D1D"/>
    <w:rsid w:val="0083623B"/>
    <w:rsid w:val="00845653"/>
    <w:rsid w:val="00851FE5"/>
    <w:rsid w:val="0087758B"/>
    <w:rsid w:val="00884F0A"/>
    <w:rsid w:val="0089039D"/>
    <w:rsid w:val="00890FD2"/>
    <w:rsid w:val="00895E65"/>
    <w:rsid w:val="008A781F"/>
    <w:rsid w:val="008D2A6C"/>
    <w:rsid w:val="008D505E"/>
    <w:rsid w:val="008F255D"/>
    <w:rsid w:val="008F29B1"/>
    <w:rsid w:val="008F6955"/>
    <w:rsid w:val="009058FA"/>
    <w:rsid w:val="009066F0"/>
    <w:rsid w:val="00922CE8"/>
    <w:rsid w:val="00937B1D"/>
    <w:rsid w:val="00942965"/>
    <w:rsid w:val="00957C1D"/>
    <w:rsid w:val="00962F20"/>
    <w:rsid w:val="009743E0"/>
    <w:rsid w:val="009756CE"/>
    <w:rsid w:val="00977ED4"/>
    <w:rsid w:val="00983E9B"/>
    <w:rsid w:val="00995282"/>
    <w:rsid w:val="009C10EE"/>
    <w:rsid w:val="009D4B5A"/>
    <w:rsid w:val="009D67FC"/>
    <w:rsid w:val="009E29B3"/>
    <w:rsid w:val="009E5849"/>
    <w:rsid w:val="009E58E7"/>
    <w:rsid w:val="00A051D2"/>
    <w:rsid w:val="00A0553D"/>
    <w:rsid w:val="00A06306"/>
    <w:rsid w:val="00A074EB"/>
    <w:rsid w:val="00A07805"/>
    <w:rsid w:val="00A303CD"/>
    <w:rsid w:val="00A34EB1"/>
    <w:rsid w:val="00A3652C"/>
    <w:rsid w:val="00A3774A"/>
    <w:rsid w:val="00A463A2"/>
    <w:rsid w:val="00A6258A"/>
    <w:rsid w:val="00A83DC8"/>
    <w:rsid w:val="00AB2627"/>
    <w:rsid w:val="00AD5AB1"/>
    <w:rsid w:val="00AD715F"/>
    <w:rsid w:val="00AF30C8"/>
    <w:rsid w:val="00AF31E5"/>
    <w:rsid w:val="00AF6BC8"/>
    <w:rsid w:val="00AF7934"/>
    <w:rsid w:val="00B00534"/>
    <w:rsid w:val="00B104AB"/>
    <w:rsid w:val="00B3245A"/>
    <w:rsid w:val="00B616ED"/>
    <w:rsid w:val="00B823B5"/>
    <w:rsid w:val="00BC5EFA"/>
    <w:rsid w:val="00BD57DA"/>
    <w:rsid w:val="00BD6C78"/>
    <w:rsid w:val="00C15054"/>
    <w:rsid w:val="00C51EF8"/>
    <w:rsid w:val="00C80A79"/>
    <w:rsid w:val="00C83F1C"/>
    <w:rsid w:val="00CA74CA"/>
    <w:rsid w:val="00CA77D7"/>
    <w:rsid w:val="00CB0661"/>
    <w:rsid w:val="00CB4AFA"/>
    <w:rsid w:val="00CB5F69"/>
    <w:rsid w:val="00CC7011"/>
    <w:rsid w:val="00CE607E"/>
    <w:rsid w:val="00D05C0F"/>
    <w:rsid w:val="00D3758D"/>
    <w:rsid w:val="00D4666B"/>
    <w:rsid w:val="00D625E4"/>
    <w:rsid w:val="00D84E2F"/>
    <w:rsid w:val="00D97F76"/>
    <w:rsid w:val="00DA5920"/>
    <w:rsid w:val="00DD4459"/>
    <w:rsid w:val="00DE01DC"/>
    <w:rsid w:val="00DE1418"/>
    <w:rsid w:val="00DF18DA"/>
    <w:rsid w:val="00DF7ABC"/>
    <w:rsid w:val="00E24C2C"/>
    <w:rsid w:val="00E53468"/>
    <w:rsid w:val="00E534E0"/>
    <w:rsid w:val="00E569F3"/>
    <w:rsid w:val="00E618CB"/>
    <w:rsid w:val="00E94206"/>
    <w:rsid w:val="00EA2577"/>
    <w:rsid w:val="00EB3906"/>
    <w:rsid w:val="00EE4E73"/>
    <w:rsid w:val="00F10DB7"/>
    <w:rsid w:val="00F17C1E"/>
    <w:rsid w:val="00F43E94"/>
    <w:rsid w:val="00F55E63"/>
    <w:rsid w:val="00F647BD"/>
    <w:rsid w:val="00F77A9B"/>
    <w:rsid w:val="00F86416"/>
    <w:rsid w:val="00FD6875"/>
    <w:rsid w:val="00FE2330"/>
    <w:rsid w:val="00FE560D"/>
    <w:rsid w:val="00FF0AE9"/>
    <w:rsid w:val="01463EF1"/>
    <w:rsid w:val="016E2A7F"/>
    <w:rsid w:val="02050E58"/>
    <w:rsid w:val="02876776"/>
    <w:rsid w:val="02C53AAF"/>
    <w:rsid w:val="02E336E6"/>
    <w:rsid w:val="02F05262"/>
    <w:rsid w:val="03074E87"/>
    <w:rsid w:val="0449758D"/>
    <w:rsid w:val="04650149"/>
    <w:rsid w:val="04DF7CDC"/>
    <w:rsid w:val="05C60E53"/>
    <w:rsid w:val="06086554"/>
    <w:rsid w:val="06187C8D"/>
    <w:rsid w:val="062065EC"/>
    <w:rsid w:val="064E4FA7"/>
    <w:rsid w:val="06A9177A"/>
    <w:rsid w:val="07146C2B"/>
    <w:rsid w:val="07246782"/>
    <w:rsid w:val="07500207"/>
    <w:rsid w:val="075C280D"/>
    <w:rsid w:val="07CD7D59"/>
    <w:rsid w:val="08492F10"/>
    <w:rsid w:val="087B6DE6"/>
    <w:rsid w:val="08921533"/>
    <w:rsid w:val="0896666F"/>
    <w:rsid w:val="09426D42"/>
    <w:rsid w:val="09752F01"/>
    <w:rsid w:val="09F77400"/>
    <w:rsid w:val="0A1D2B98"/>
    <w:rsid w:val="0A2D7613"/>
    <w:rsid w:val="0A6E347F"/>
    <w:rsid w:val="0A742AB5"/>
    <w:rsid w:val="0AE80876"/>
    <w:rsid w:val="0BB25B94"/>
    <w:rsid w:val="0C2D30DA"/>
    <w:rsid w:val="0C303516"/>
    <w:rsid w:val="0CB87A9C"/>
    <w:rsid w:val="0CC55993"/>
    <w:rsid w:val="0CD30BDE"/>
    <w:rsid w:val="0D490AEC"/>
    <w:rsid w:val="0D6021D9"/>
    <w:rsid w:val="0E0C211A"/>
    <w:rsid w:val="0E2A0C7E"/>
    <w:rsid w:val="0E2E4849"/>
    <w:rsid w:val="0E2E6695"/>
    <w:rsid w:val="0EF415E6"/>
    <w:rsid w:val="0F9743A1"/>
    <w:rsid w:val="100D3B5E"/>
    <w:rsid w:val="103B1CEF"/>
    <w:rsid w:val="107E5FE4"/>
    <w:rsid w:val="10C1060B"/>
    <w:rsid w:val="10C77E3C"/>
    <w:rsid w:val="10CD1E1D"/>
    <w:rsid w:val="10D26327"/>
    <w:rsid w:val="11132EE5"/>
    <w:rsid w:val="116E61A6"/>
    <w:rsid w:val="117F4CD1"/>
    <w:rsid w:val="11C449B6"/>
    <w:rsid w:val="121B53C5"/>
    <w:rsid w:val="125675E9"/>
    <w:rsid w:val="138A0266"/>
    <w:rsid w:val="13DF0B38"/>
    <w:rsid w:val="13EB3519"/>
    <w:rsid w:val="14456019"/>
    <w:rsid w:val="145A45EF"/>
    <w:rsid w:val="14CB6FCF"/>
    <w:rsid w:val="150E4D7B"/>
    <w:rsid w:val="155512B3"/>
    <w:rsid w:val="156031F6"/>
    <w:rsid w:val="158568FB"/>
    <w:rsid w:val="159B0DBE"/>
    <w:rsid w:val="16503A7A"/>
    <w:rsid w:val="166A3F21"/>
    <w:rsid w:val="17416EF8"/>
    <w:rsid w:val="17A61F7D"/>
    <w:rsid w:val="17BB68B2"/>
    <w:rsid w:val="17BE0022"/>
    <w:rsid w:val="17EA4F97"/>
    <w:rsid w:val="17F223AD"/>
    <w:rsid w:val="18461DB2"/>
    <w:rsid w:val="187478DD"/>
    <w:rsid w:val="187A0AD5"/>
    <w:rsid w:val="18A70482"/>
    <w:rsid w:val="18F84904"/>
    <w:rsid w:val="19104E63"/>
    <w:rsid w:val="193B57C0"/>
    <w:rsid w:val="19B73F85"/>
    <w:rsid w:val="1AA43811"/>
    <w:rsid w:val="1AB143AA"/>
    <w:rsid w:val="1B35627C"/>
    <w:rsid w:val="1BD417C5"/>
    <w:rsid w:val="1CB518A5"/>
    <w:rsid w:val="1D002FEC"/>
    <w:rsid w:val="1D3418F9"/>
    <w:rsid w:val="1D415EAA"/>
    <w:rsid w:val="1D6F4B57"/>
    <w:rsid w:val="1E602BCB"/>
    <w:rsid w:val="1F0F4603"/>
    <w:rsid w:val="1F152A95"/>
    <w:rsid w:val="1F641B0F"/>
    <w:rsid w:val="20776154"/>
    <w:rsid w:val="20F1662F"/>
    <w:rsid w:val="216D7D3C"/>
    <w:rsid w:val="21A55124"/>
    <w:rsid w:val="21D0768F"/>
    <w:rsid w:val="21E52AA7"/>
    <w:rsid w:val="21E713B5"/>
    <w:rsid w:val="232052EA"/>
    <w:rsid w:val="232C38FC"/>
    <w:rsid w:val="235B6CA1"/>
    <w:rsid w:val="24004D8E"/>
    <w:rsid w:val="2495508C"/>
    <w:rsid w:val="249A224E"/>
    <w:rsid w:val="25592B49"/>
    <w:rsid w:val="25890A2A"/>
    <w:rsid w:val="25BE1333"/>
    <w:rsid w:val="260B1896"/>
    <w:rsid w:val="26683AFD"/>
    <w:rsid w:val="2671641F"/>
    <w:rsid w:val="267947AD"/>
    <w:rsid w:val="26AB74FD"/>
    <w:rsid w:val="276553E4"/>
    <w:rsid w:val="27C62662"/>
    <w:rsid w:val="27DF4B37"/>
    <w:rsid w:val="28CF1F8D"/>
    <w:rsid w:val="29315346"/>
    <w:rsid w:val="29596032"/>
    <w:rsid w:val="29B05A24"/>
    <w:rsid w:val="29EF0FD2"/>
    <w:rsid w:val="2A4B4090"/>
    <w:rsid w:val="2A5D32DD"/>
    <w:rsid w:val="2A971462"/>
    <w:rsid w:val="2AFB0544"/>
    <w:rsid w:val="2B1E0EF3"/>
    <w:rsid w:val="2B1E660F"/>
    <w:rsid w:val="2B4C38A9"/>
    <w:rsid w:val="2BA70CA4"/>
    <w:rsid w:val="2BBB435B"/>
    <w:rsid w:val="2C16267E"/>
    <w:rsid w:val="2C9049DE"/>
    <w:rsid w:val="2CF45C92"/>
    <w:rsid w:val="2CF4664D"/>
    <w:rsid w:val="2D6066AC"/>
    <w:rsid w:val="2E4331BE"/>
    <w:rsid w:val="2EDE1C71"/>
    <w:rsid w:val="2F5271A7"/>
    <w:rsid w:val="2FC2126D"/>
    <w:rsid w:val="2FE26873"/>
    <w:rsid w:val="3021705E"/>
    <w:rsid w:val="30226805"/>
    <w:rsid w:val="302D153E"/>
    <w:rsid w:val="311414DD"/>
    <w:rsid w:val="31584ED2"/>
    <w:rsid w:val="319B13D9"/>
    <w:rsid w:val="31AB5940"/>
    <w:rsid w:val="31C1513E"/>
    <w:rsid w:val="322A6129"/>
    <w:rsid w:val="32A91D77"/>
    <w:rsid w:val="32D76A62"/>
    <w:rsid w:val="331F0EA3"/>
    <w:rsid w:val="33F40AAF"/>
    <w:rsid w:val="34B06466"/>
    <w:rsid w:val="34DB0272"/>
    <w:rsid w:val="35191F67"/>
    <w:rsid w:val="360C0E62"/>
    <w:rsid w:val="361127D1"/>
    <w:rsid w:val="364E1848"/>
    <w:rsid w:val="365E323D"/>
    <w:rsid w:val="373F11B0"/>
    <w:rsid w:val="37DE66D2"/>
    <w:rsid w:val="37E31CBE"/>
    <w:rsid w:val="380940FC"/>
    <w:rsid w:val="38184EDE"/>
    <w:rsid w:val="3858329B"/>
    <w:rsid w:val="387A39BB"/>
    <w:rsid w:val="38B75245"/>
    <w:rsid w:val="38E958B3"/>
    <w:rsid w:val="39B040DE"/>
    <w:rsid w:val="39CD422D"/>
    <w:rsid w:val="3A030479"/>
    <w:rsid w:val="3AC52BC2"/>
    <w:rsid w:val="3AD1108C"/>
    <w:rsid w:val="3B235F26"/>
    <w:rsid w:val="3B39238D"/>
    <w:rsid w:val="3BC26F34"/>
    <w:rsid w:val="3BE10CFA"/>
    <w:rsid w:val="3C3144B3"/>
    <w:rsid w:val="3CA5228C"/>
    <w:rsid w:val="3CC8786E"/>
    <w:rsid w:val="3DA0122B"/>
    <w:rsid w:val="3E0E3379"/>
    <w:rsid w:val="3E1078BE"/>
    <w:rsid w:val="3EDB4A95"/>
    <w:rsid w:val="3FA96941"/>
    <w:rsid w:val="3FFE1D65"/>
    <w:rsid w:val="40C27220"/>
    <w:rsid w:val="4154442C"/>
    <w:rsid w:val="41EB4205"/>
    <w:rsid w:val="42274788"/>
    <w:rsid w:val="426223B3"/>
    <w:rsid w:val="42E60709"/>
    <w:rsid w:val="433D23E8"/>
    <w:rsid w:val="439003EE"/>
    <w:rsid w:val="43AC3879"/>
    <w:rsid w:val="443303EF"/>
    <w:rsid w:val="445A3941"/>
    <w:rsid w:val="44697430"/>
    <w:rsid w:val="45A114B2"/>
    <w:rsid w:val="468546C6"/>
    <w:rsid w:val="47125F6E"/>
    <w:rsid w:val="476A1528"/>
    <w:rsid w:val="48343A26"/>
    <w:rsid w:val="483E1B9E"/>
    <w:rsid w:val="484F15DA"/>
    <w:rsid w:val="49381C5C"/>
    <w:rsid w:val="49AE3673"/>
    <w:rsid w:val="49FC2949"/>
    <w:rsid w:val="4A0F3823"/>
    <w:rsid w:val="4A0F3F32"/>
    <w:rsid w:val="4A336188"/>
    <w:rsid w:val="4A416461"/>
    <w:rsid w:val="4A491736"/>
    <w:rsid w:val="4B743F6F"/>
    <w:rsid w:val="4BE50475"/>
    <w:rsid w:val="4BF3676D"/>
    <w:rsid w:val="4C7558EF"/>
    <w:rsid w:val="4D2948E8"/>
    <w:rsid w:val="4D341F3A"/>
    <w:rsid w:val="4D8507BC"/>
    <w:rsid w:val="4DAA1032"/>
    <w:rsid w:val="4EF22E55"/>
    <w:rsid w:val="4F1F1A60"/>
    <w:rsid w:val="4FB81957"/>
    <w:rsid w:val="50C45EE0"/>
    <w:rsid w:val="510B6E04"/>
    <w:rsid w:val="5184324A"/>
    <w:rsid w:val="519A31F0"/>
    <w:rsid w:val="52465EAE"/>
    <w:rsid w:val="52473C74"/>
    <w:rsid w:val="52A651AB"/>
    <w:rsid w:val="530502CE"/>
    <w:rsid w:val="535617B2"/>
    <w:rsid w:val="53A10E0D"/>
    <w:rsid w:val="53A2307C"/>
    <w:rsid w:val="546D60A0"/>
    <w:rsid w:val="546E04CC"/>
    <w:rsid w:val="55265D38"/>
    <w:rsid w:val="5652005C"/>
    <w:rsid w:val="56AD7DF3"/>
    <w:rsid w:val="5793060B"/>
    <w:rsid w:val="58AE5365"/>
    <w:rsid w:val="58B66A93"/>
    <w:rsid w:val="58F12D10"/>
    <w:rsid w:val="59141F46"/>
    <w:rsid w:val="5924798E"/>
    <w:rsid w:val="5A0F2607"/>
    <w:rsid w:val="5A351A32"/>
    <w:rsid w:val="5C224533"/>
    <w:rsid w:val="5C6A0DAE"/>
    <w:rsid w:val="5C6E4C1C"/>
    <w:rsid w:val="5D96211E"/>
    <w:rsid w:val="5DD86807"/>
    <w:rsid w:val="5DF752FA"/>
    <w:rsid w:val="5E365DBE"/>
    <w:rsid w:val="5E5B41DD"/>
    <w:rsid w:val="5F2E1FB7"/>
    <w:rsid w:val="5F38370A"/>
    <w:rsid w:val="607F3988"/>
    <w:rsid w:val="61257471"/>
    <w:rsid w:val="615C578E"/>
    <w:rsid w:val="618B4015"/>
    <w:rsid w:val="619D2365"/>
    <w:rsid w:val="61CA15E4"/>
    <w:rsid w:val="62AE0E13"/>
    <w:rsid w:val="62B02923"/>
    <w:rsid w:val="6335285C"/>
    <w:rsid w:val="63BF6A79"/>
    <w:rsid w:val="641A1124"/>
    <w:rsid w:val="6437077B"/>
    <w:rsid w:val="645C33B7"/>
    <w:rsid w:val="651326EB"/>
    <w:rsid w:val="65770BE8"/>
    <w:rsid w:val="65961617"/>
    <w:rsid w:val="67AC562E"/>
    <w:rsid w:val="67E11A70"/>
    <w:rsid w:val="682B75AE"/>
    <w:rsid w:val="69BB183E"/>
    <w:rsid w:val="69C72A7A"/>
    <w:rsid w:val="69E955BE"/>
    <w:rsid w:val="6B090D52"/>
    <w:rsid w:val="6B411CEB"/>
    <w:rsid w:val="6B612F83"/>
    <w:rsid w:val="6BBD3A50"/>
    <w:rsid w:val="6CAE5154"/>
    <w:rsid w:val="6DB7539D"/>
    <w:rsid w:val="6E3B0192"/>
    <w:rsid w:val="6E862328"/>
    <w:rsid w:val="6E9F6FDD"/>
    <w:rsid w:val="6EEDB4B2"/>
    <w:rsid w:val="7062530C"/>
    <w:rsid w:val="711D6A0E"/>
    <w:rsid w:val="71913134"/>
    <w:rsid w:val="71D7261D"/>
    <w:rsid w:val="71E44C6A"/>
    <w:rsid w:val="72534572"/>
    <w:rsid w:val="726915EC"/>
    <w:rsid w:val="729A355C"/>
    <w:rsid w:val="72D94035"/>
    <w:rsid w:val="73113D1E"/>
    <w:rsid w:val="734B3F35"/>
    <w:rsid w:val="7361583D"/>
    <w:rsid w:val="73BA2BC8"/>
    <w:rsid w:val="73F7F667"/>
    <w:rsid w:val="74DC41DD"/>
    <w:rsid w:val="75305C1A"/>
    <w:rsid w:val="75B846D9"/>
    <w:rsid w:val="76A72C39"/>
    <w:rsid w:val="76C0645D"/>
    <w:rsid w:val="770579FA"/>
    <w:rsid w:val="77545077"/>
    <w:rsid w:val="7884323A"/>
    <w:rsid w:val="78B335F9"/>
    <w:rsid w:val="79420C91"/>
    <w:rsid w:val="79621379"/>
    <w:rsid w:val="7A57124A"/>
    <w:rsid w:val="7AA81F42"/>
    <w:rsid w:val="7AED4571"/>
    <w:rsid w:val="7B3B4375"/>
    <w:rsid w:val="7BBB198C"/>
    <w:rsid w:val="7BCD2F2C"/>
    <w:rsid w:val="7CD727EF"/>
    <w:rsid w:val="7D2A75E5"/>
    <w:rsid w:val="7DA61101"/>
    <w:rsid w:val="7DD20BB5"/>
    <w:rsid w:val="7DD63860"/>
    <w:rsid w:val="7E751B09"/>
    <w:rsid w:val="7E9F52E6"/>
    <w:rsid w:val="7EBA4878"/>
    <w:rsid w:val="7F9F22BF"/>
    <w:rsid w:val="7FCC611E"/>
    <w:rsid w:val="7FEF1CC3"/>
    <w:rsid w:val="97D2DD19"/>
    <w:rsid w:val="A7BE61AF"/>
    <w:rsid w:val="BCFE35D9"/>
    <w:rsid w:val="D59B93AE"/>
    <w:rsid w:val="DFFEC0C7"/>
    <w:rsid w:val="E7FF5367"/>
    <w:rsid w:val="F1FF3661"/>
    <w:rsid w:val="FBBDBD0D"/>
    <w:rsid w:val="FFDB9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numPr>
        <w:ilvl w:val="0"/>
        <w:numId w:val="1"/>
      </w:numPr>
      <w:spacing w:before="480" w:line="360" w:lineRule="auto"/>
      <w:ind w:firstLine="0"/>
      <w:outlineLvl w:val="0"/>
    </w:pPr>
    <w:rPr>
      <w:rFonts w:ascii="Cambria" w:hAnsi="Cambria" w:eastAsia="楷体_GB2312" w:cstheme="majorBidi"/>
      <w:b/>
      <w:bCs/>
      <w:color w:val="365F91"/>
      <w:sz w:val="28"/>
      <w:szCs w:val="28"/>
    </w:rPr>
  </w:style>
  <w:style w:type="paragraph" w:styleId="3">
    <w:name w:val="heading 2"/>
    <w:basedOn w:val="1"/>
    <w:next w:val="1"/>
    <w:link w:val="23"/>
    <w:unhideWhenUsed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4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ind w:firstLine="400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9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9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9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2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26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annotation subject"/>
    <w:basedOn w:val="12"/>
    <w:next w:val="12"/>
    <w:link w:val="27"/>
    <w:semiHidden/>
    <w:unhideWhenUsed/>
    <w:qFormat/>
    <w:uiPriority w:val="99"/>
    <w:rPr>
      <w:b/>
      <w:bCs/>
    </w:rPr>
  </w:style>
  <w:style w:type="character" w:styleId="19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0">
    <w:name w:val="页眉 Char"/>
    <w:basedOn w:val="18"/>
    <w:link w:val="15"/>
    <w:qFormat/>
    <w:uiPriority w:val="99"/>
    <w:rPr>
      <w:sz w:val="18"/>
      <w:szCs w:val="18"/>
    </w:rPr>
  </w:style>
  <w:style w:type="character" w:customStyle="1" w:styleId="21">
    <w:name w:val="页脚 Char"/>
    <w:basedOn w:val="18"/>
    <w:link w:val="14"/>
    <w:qFormat/>
    <w:uiPriority w:val="99"/>
    <w:rPr>
      <w:sz w:val="18"/>
      <w:szCs w:val="18"/>
    </w:rPr>
  </w:style>
  <w:style w:type="character" w:customStyle="1" w:styleId="22">
    <w:name w:val="标题 1 Char"/>
    <w:basedOn w:val="18"/>
    <w:link w:val="2"/>
    <w:qFormat/>
    <w:uiPriority w:val="9"/>
    <w:rPr>
      <w:rFonts w:ascii="Cambria" w:hAnsi="Cambria" w:eastAsia="楷体_GB2312" w:cstheme="majorBidi"/>
      <w:b/>
      <w:bCs/>
      <w:color w:val="365F91"/>
      <w:sz w:val="28"/>
      <w:szCs w:val="28"/>
    </w:rPr>
  </w:style>
  <w:style w:type="character" w:customStyle="1" w:styleId="23">
    <w:name w:val="标题 2 Char"/>
    <w:basedOn w:val="18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4">
    <w:name w:val="标题 3 Char"/>
    <w:basedOn w:val="18"/>
    <w:link w:val="4"/>
    <w:qFormat/>
    <w:uiPriority w:val="9"/>
    <w:rPr>
      <w:b/>
      <w:bCs/>
      <w:sz w:val="32"/>
      <w:szCs w:val="32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批注文字 Char"/>
    <w:basedOn w:val="18"/>
    <w:link w:val="12"/>
    <w:semiHidden/>
    <w:qFormat/>
    <w:uiPriority w:val="99"/>
  </w:style>
  <w:style w:type="character" w:customStyle="1" w:styleId="27">
    <w:name w:val="批注主题 Char"/>
    <w:basedOn w:val="26"/>
    <w:link w:val="16"/>
    <w:semiHidden/>
    <w:qFormat/>
    <w:uiPriority w:val="99"/>
    <w:rPr>
      <w:b/>
      <w:bCs/>
    </w:rPr>
  </w:style>
  <w:style w:type="character" w:customStyle="1" w:styleId="28">
    <w:name w:val="批注框文本 Char"/>
    <w:basedOn w:val="18"/>
    <w:link w:val="13"/>
    <w:semiHidden/>
    <w:qFormat/>
    <w:uiPriority w:val="99"/>
    <w:rPr>
      <w:sz w:val="18"/>
      <w:szCs w:val="18"/>
    </w:rPr>
  </w:style>
  <w:style w:type="character" w:customStyle="1" w:styleId="29">
    <w:name w:val="文档结构图 Char"/>
    <w:basedOn w:val="18"/>
    <w:link w:val="11"/>
    <w:semiHidden/>
    <w:qFormat/>
    <w:uiPriority w:val="99"/>
    <w:rPr>
      <w:rFonts w:ascii="宋体" w:eastAsia="宋体"/>
      <w:sz w:val="18"/>
      <w:szCs w:val="18"/>
    </w:rPr>
  </w:style>
  <w:style w:type="paragraph" w:customStyle="1" w:styleId="30">
    <w:name w:val="SD&amp;C正文"/>
    <w:basedOn w:val="1"/>
    <w:qFormat/>
    <w:uiPriority w:val="0"/>
    <w:pPr>
      <w:spacing w:line="360" w:lineRule="exact"/>
      <w:ind w:firstLine="200" w:firstLineChars="200"/>
    </w:pPr>
    <w:rPr>
      <w:rFonts w:ascii="楷体_GB2312" w:hAnsi="Times New Roman" w:eastAsia="楷体_GB2312" w:cs="Times New Roman"/>
      <w:szCs w:val="20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E03AF030-FA14-451E-9396-01FC53B7D3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3</Pages>
  <Words>360</Words>
  <Characters>2052</Characters>
  <Lines>17</Lines>
  <Paragraphs>4</Paragraphs>
  <TotalTime>68</TotalTime>
  <ScaleCrop>false</ScaleCrop>
  <LinksUpToDate>false</LinksUpToDate>
  <CharactersWithSpaces>2408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2017-10-12T23:58:00Z</dcterms:created>
  <dc:creator>CN=王轩/OU=基金业务部/OU=公司总部/O=ChinaClear</dc:creator>
  <cp:lastModifiedBy>王新博</cp:lastModifiedBy>
  <dcterms:modified xsi:type="dcterms:W3CDTF">2025-06-10T07:27:37Z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C871C18FC2E207B1A4562568CA5667A4_43</vt:lpwstr>
  </property>
</Properties>
</file>