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AC3B5">
      <w:pPr>
        <w:pStyle w:val="2"/>
        <w:numPr>
          <w:ilvl w:val="-1"/>
          <w:numId w:val="0"/>
        </w:numPr>
        <w:jc w:val="center"/>
        <w:outlineLvl w:val="0"/>
        <w:rPr>
          <w:rFonts w:hint="eastAsia"/>
          <w:color w:val="auto"/>
          <w:sz w:val="36"/>
          <w:szCs w:val="36"/>
        </w:rPr>
      </w:pPr>
      <w:r>
        <w:rPr>
          <w:rFonts w:hint="eastAsia"/>
          <w:color w:val="auto"/>
          <w:sz w:val="36"/>
          <w:szCs w:val="36"/>
          <w:lang w:val="en-US" w:eastAsia="zh-CN"/>
        </w:rPr>
        <w:t xml:space="preserve">  </w:t>
      </w:r>
      <w:r>
        <w:rPr>
          <w:rFonts w:hint="eastAsia"/>
          <w:color w:val="auto"/>
          <w:sz w:val="36"/>
          <w:szCs w:val="36"/>
        </w:rPr>
        <w:t>中国结算</w:t>
      </w:r>
      <w:r>
        <w:rPr>
          <w:rFonts w:hint="default" w:ascii="Times New Roman" w:hAnsi="Times New Roman" w:cs="Times New Roman"/>
          <w:color w:val="auto"/>
          <w:sz w:val="36"/>
          <w:szCs w:val="36"/>
        </w:rPr>
        <w:t>TA</w:t>
      </w:r>
      <w:r>
        <w:rPr>
          <w:rFonts w:hint="eastAsia"/>
          <w:color w:val="auto"/>
          <w:sz w:val="36"/>
          <w:szCs w:val="36"/>
        </w:rPr>
        <w:t>系统</w:t>
      </w:r>
      <w:r>
        <w:rPr>
          <w:rFonts w:hint="eastAsia"/>
          <w:color w:val="auto"/>
          <w:sz w:val="36"/>
          <w:szCs w:val="36"/>
          <w:lang w:eastAsia="zh-CN"/>
        </w:rPr>
        <w:t>支持</w:t>
      </w:r>
      <w:r>
        <w:rPr>
          <w:rFonts w:hint="eastAsia"/>
          <w:color w:val="auto"/>
          <w:sz w:val="36"/>
          <w:szCs w:val="36"/>
        </w:rPr>
        <w:t>上证</w:t>
      </w:r>
      <w:r>
        <w:rPr>
          <w:rFonts w:hint="default" w:ascii="Times New Roman" w:hAnsi="Times New Roman" w:cs="Times New Roman"/>
          <w:color w:val="auto"/>
          <w:sz w:val="36"/>
          <w:szCs w:val="36"/>
        </w:rPr>
        <w:t>REITs</w:t>
      </w:r>
      <w:r>
        <w:rPr>
          <w:rFonts w:hint="eastAsia" w:ascii="Times New Roman" w:hAnsi="Times New Roman" w:cs="Times New Roman"/>
          <w:color w:val="auto"/>
          <w:sz w:val="36"/>
          <w:szCs w:val="36"/>
          <w:lang w:eastAsia="zh-CN"/>
        </w:rPr>
        <w:t>非定向扩募业务</w:t>
      </w:r>
      <w:r>
        <w:rPr>
          <w:rFonts w:hint="eastAsia"/>
          <w:color w:val="auto"/>
          <w:sz w:val="36"/>
          <w:szCs w:val="36"/>
        </w:rPr>
        <w:t>技术指引</w:t>
      </w:r>
    </w:p>
    <w:p w14:paraId="15A11335">
      <w:pPr>
        <w:pStyle w:val="2"/>
        <w:spacing w:before="200"/>
        <w:ind w:firstLine="0"/>
        <w:jc w:val="left"/>
        <w:outlineLvl w:val="9"/>
        <w:rPr>
          <w:rFonts w:hint="eastAsia"/>
          <w:sz w:val="32"/>
          <w:szCs w:val="32"/>
          <w:lang w:eastAsia="zh-CN"/>
        </w:rPr>
      </w:pPr>
      <w:r>
        <w:rPr>
          <w:rFonts w:hint="eastAsia"/>
          <w:sz w:val="32"/>
          <w:szCs w:val="32"/>
          <w:lang w:eastAsia="zh-CN"/>
        </w:rPr>
        <w:t>业务方案概述</w:t>
      </w:r>
    </w:p>
    <w:p w14:paraId="13198A02">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lang w:eastAsia="zh-CN"/>
        </w:rPr>
        <w:t>根据相关业务规则，公募</w:t>
      </w:r>
      <w:r>
        <w:rPr>
          <w:rFonts w:hint="default" w:ascii="Times New Roman" w:hAnsi="Times New Roman" w:eastAsia="楷体_GB2312" w:cs="Times New Roman"/>
          <w:color w:val="auto"/>
          <w:kern w:val="0"/>
          <w:sz w:val="24"/>
          <w:szCs w:val="24"/>
          <w:lang w:eastAsia="zh-CN"/>
        </w:rPr>
        <w:t>REITs</w:t>
      </w:r>
      <w:r>
        <w:rPr>
          <w:rFonts w:hint="eastAsia" w:ascii="宋体" w:hAnsi="宋体" w:eastAsia="楷体_GB2312" w:cs="仿宋_GB2312"/>
          <w:color w:val="auto"/>
          <w:kern w:val="0"/>
          <w:sz w:val="24"/>
          <w:szCs w:val="24"/>
          <w:lang w:eastAsia="zh-CN"/>
        </w:rPr>
        <w:t>扩募可以向特定对象发售（以下简称“定向扩募”），也可以向不特定对象发售（以下简称“非定向扩募”）。</w:t>
      </w:r>
    </w:p>
    <w:p w14:paraId="1879A5B8">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lang w:eastAsia="zh-CN"/>
        </w:rPr>
        <w:t>非定向扩募包含向原基础设施基金持有人配售份额（以下简称“向原持有人配售”）和向不特定对象募集（以下简称“公开募集”）两种方式。针对每种非定向扩募方式，管理人需要采用新发行一只</w:t>
      </w:r>
      <w:r>
        <w:rPr>
          <w:rFonts w:hint="eastAsia" w:ascii="宋体" w:hAnsi="宋体" w:eastAsia="楷体_GB2312" w:cs="仿宋_GB2312"/>
          <w:color w:val="auto"/>
          <w:kern w:val="0"/>
          <w:sz w:val="24"/>
          <w:szCs w:val="24"/>
          <w:lang w:val="en-US" w:eastAsia="zh-CN"/>
        </w:rPr>
        <w:t>“</w:t>
      </w:r>
      <w:r>
        <w:rPr>
          <w:rFonts w:hint="eastAsia" w:ascii="宋体" w:hAnsi="宋体" w:eastAsia="楷体_GB2312" w:cs="仿宋_GB2312"/>
          <w:color w:val="auto"/>
          <w:kern w:val="0"/>
          <w:sz w:val="24"/>
          <w:szCs w:val="24"/>
          <w:lang w:eastAsia="zh-CN"/>
        </w:rPr>
        <w:t>扩募基金代码</w:t>
      </w:r>
      <w:r>
        <w:rPr>
          <w:rFonts w:hint="eastAsia" w:ascii="宋体" w:hAnsi="宋体" w:eastAsia="楷体_GB2312" w:cs="仿宋_GB2312"/>
          <w:color w:val="auto"/>
          <w:kern w:val="0"/>
          <w:sz w:val="24"/>
          <w:szCs w:val="24"/>
          <w:lang w:val="en-US" w:eastAsia="zh-CN"/>
        </w:rPr>
        <w:t>”</w:t>
      </w:r>
      <w:r>
        <w:rPr>
          <w:rFonts w:hint="eastAsia" w:ascii="宋体" w:hAnsi="宋体" w:eastAsia="楷体_GB2312" w:cs="仿宋_GB2312"/>
          <w:color w:val="auto"/>
          <w:kern w:val="0"/>
          <w:sz w:val="24"/>
          <w:szCs w:val="24"/>
          <w:lang w:eastAsia="zh-CN"/>
        </w:rPr>
        <w:t>的方式完成相关业务处理。</w:t>
      </w:r>
    </w:p>
    <w:p w14:paraId="07C5FDF1">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val="en-US" w:eastAsia="zh-CN"/>
        </w:rPr>
      </w:pPr>
      <w:r>
        <w:rPr>
          <w:rFonts w:hint="eastAsia" w:ascii="宋体" w:hAnsi="宋体" w:eastAsia="楷体_GB2312" w:cs="仿宋_GB2312"/>
          <w:color w:val="auto"/>
          <w:kern w:val="0"/>
          <w:sz w:val="24"/>
          <w:szCs w:val="24"/>
          <w:lang w:val="en-US" w:eastAsia="zh-CN"/>
        </w:rPr>
        <w:t>在“</w:t>
      </w:r>
      <w:r>
        <w:rPr>
          <w:rFonts w:hint="eastAsia" w:ascii="宋体" w:hAnsi="宋体" w:eastAsia="楷体_GB2312" w:cs="仿宋_GB2312"/>
          <w:color w:val="auto"/>
          <w:kern w:val="0"/>
          <w:sz w:val="24"/>
          <w:szCs w:val="24"/>
          <w:lang w:eastAsia="zh-CN"/>
        </w:rPr>
        <w:t>扩募基金代码</w:t>
      </w:r>
      <w:r>
        <w:rPr>
          <w:rFonts w:hint="eastAsia" w:ascii="宋体" w:hAnsi="宋体" w:eastAsia="楷体_GB2312" w:cs="仿宋_GB2312"/>
          <w:color w:val="auto"/>
          <w:kern w:val="0"/>
          <w:sz w:val="24"/>
          <w:szCs w:val="24"/>
          <w:lang w:val="en-US" w:eastAsia="zh-CN"/>
        </w:rPr>
        <w:t>”</w:t>
      </w:r>
      <w:r>
        <w:rPr>
          <w:rFonts w:hint="eastAsia" w:ascii="宋体" w:hAnsi="宋体" w:eastAsia="楷体_GB2312" w:cs="仿宋_GB2312"/>
          <w:color w:val="auto"/>
          <w:kern w:val="0"/>
          <w:sz w:val="24"/>
          <w:szCs w:val="24"/>
          <w:lang w:eastAsia="zh-CN"/>
        </w:rPr>
        <w:t>初始份额登记后，</w:t>
      </w: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系统将在同一批次</w:t>
      </w:r>
      <w:r>
        <w:rPr>
          <w:rFonts w:hint="eastAsia" w:ascii="宋体" w:hAnsi="宋体" w:eastAsia="楷体_GB2312" w:cs="仿宋_GB2312"/>
          <w:color w:val="auto"/>
          <w:kern w:val="0"/>
          <w:sz w:val="24"/>
          <w:szCs w:val="24"/>
          <w:lang w:eastAsia="zh-CN"/>
        </w:rPr>
        <w:t>自动将初始登记份额等值转登记为该产品的“首发基金</w:t>
      </w:r>
      <w:r>
        <w:rPr>
          <w:rFonts w:hint="eastAsia" w:ascii="宋体" w:hAnsi="宋体" w:eastAsia="楷体_GB2312" w:cs="仿宋_GB2312"/>
          <w:color w:val="auto"/>
          <w:kern w:val="0"/>
          <w:sz w:val="24"/>
          <w:szCs w:val="24"/>
          <w:lang w:val="en-US" w:eastAsia="zh-CN"/>
        </w:rPr>
        <w:t>代码”份额。</w:t>
      </w:r>
    </w:p>
    <w:p w14:paraId="4C480AD3">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lang w:eastAsia="zh-CN"/>
        </w:rPr>
        <w:t>定向扩募新增份额和非定向扩募新增份额在上市前均不可用。</w:t>
      </w:r>
    </w:p>
    <w:p w14:paraId="59080A89">
      <w:pPr>
        <w:pStyle w:val="2"/>
        <w:spacing w:before="200"/>
        <w:ind w:firstLine="0"/>
        <w:jc w:val="left"/>
        <w:outlineLvl w:val="9"/>
        <w:rPr>
          <w:rFonts w:hint="eastAsia"/>
          <w:sz w:val="32"/>
          <w:szCs w:val="32"/>
        </w:rPr>
      </w:pPr>
      <w:r>
        <w:rPr>
          <w:rFonts w:hint="eastAsia"/>
          <w:sz w:val="32"/>
          <w:szCs w:val="32"/>
          <w:lang w:eastAsia="zh-CN"/>
        </w:rPr>
        <w:t>处理逻辑</w:t>
      </w:r>
      <w:r>
        <w:rPr>
          <w:rFonts w:hint="eastAsia"/>
          <w:sz w:val="32"/>
          <w:szCs w:val="32"/>
        </w:rPr>
        <w:t>说明</w:t>
      </w:r>
    </w:p>
    <w:p w14:paraId="6EBC752D">
      <w:pPr>
        <w:pStyle w:val="3"/>
        <w:bidi w:val="0"/>
        <w:spacing w:before="100" w:after="100" w:line="240" w:lineRule="auto"/>
        <w:ind w:left="839" w:leftChars="0" w:hanging="420"/>
        <w:rPr>
          <w:rFonts w:hint="eastAsia"/>
          <w:lang w:eastAsia="zh-CN"/>
        </w:rPr>
      </w:pPr>
      <w:r>
        <w:rPr>
          <w:rFonts w:hint="eastAsia"/>
          <w:lang w:eastAsia="zh-CN"/>
        </w:rPr>
        <w:t>交易处理</w:t>
      </w:r>
    </w:p>
    <w:p w14:paraId="58CC415B">
      <w:pPr>
        <w:pStyle w:val="4"/>
        <w:bidi w:val="0"/>
        <w:spacing w:before="100" w:after="100"/>
        <w:ind w:left="23" w:firstLine="403"/>
        <w:rPr>
          <w:rFonts w:hint="eastAsia"/>
          <w:lang w:eastAsia="zh-CN"/>
        </w:rPr>
      </w:pPr>
      <w:r>
        <w:rPr>
          <w:rFonts w:hint="eastAsia"/>
          <w:lang w:eastAsia="zh-CN"/>
        </w:rPr>
        <w:t>场内交易处理</w:t>
      </w:r>
    </w:p>
    <w:p w14:paraId="5A63BFF1">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val="en-US" w:eastAsia="zh-CN"/>
        </w:rPr>
      </w:pPr>
      <w:r>
        <w:rPr>
          <w:rFonts w:hint="eastAsia" w:ascii="宋体" w:hAnsi="宋体" w:eastAsia="楷体_GB2312" w:cs="仿宋_GB2312"/>
          <w:color w:val="auto"/>
          <w:kern w:val="0"/>
          <w:sz w:val="24"/>
          <w:szCs w:val="24"/>
          <w:lang w:val="en-US" w:eastAsia="zh-CN"/>
        </w:rPr>
        <w:t>场内将新增</w:t>
      </w:r>
      <w:r>
        <w:rPr>
          <w:rFonts w:hint="default" w:ascii="Times New Roman" w:hAnsi="Times New Roman" w:eastAsia="楷体_GB2312" w:cs="Times New Roman"/>
          <w:color w:val="auto"/>
          <w:kern w:val="0"/>
          <w:sz w:val="24"/>
          <w:szCs w:val="24"/>
          <w:lang w:val="en-US" w:eastAsia="zh-CN"/>
        </w:rPr>
        <w:t>2</w:t>
      </w:r>
      <w:r>
        <w:rPr>
          <w:rFonts w:hint="eastAsia" w:ascii="宋体" w:hAnsi="宋体" w:eastAsia="楷体_GB2312" w:cs="仿宋_GB2312"/>
          <w:color w:val="auto"/>
          <w:kern w:val="0"/>
          <w:sz w:val="24"/>
          <w:szCs w:val="24"/>
          <w:lang w:val="en-US" w:eastAsia="zh-CN"/>
        </w:rPr>
        <w:t>个业务代码分别代表“</w:t>
      </w:r>
      <w:r>
        <w:rPr>
          <w:rFonts w:hint="eastAsia" w:ascii="宋体" w:hAnsi="宋体" w:eastAsia="楷体_GB2312" w:cs="仿宋_GB2312"/>
          <w:color w:val="auto"/>
          <w:kern w:val="0"/>
          <w:sz w:val="24"/>
          <w:szCs w:val="24"/>
          <w:lang w:eastAsia="zh-CN"/>
        </w:rPr>
        <w:t>向原持有人配售”和“公开募集”非定向扩募业务。</w:t>
      </w:r>
    </w:p>
    <w:p w14:paraId="202BBA0B">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val="en-US" w:eastAsia="zh-CN"/>
        </w:rPr>
      </w:pPr>
      <w:r>
        <w:rPr>
          <w:rFonts w:hint="eastAsia" w:ascii="宋体" w:hAnsi="宋体" w:eastAsia="楷体_GB2312" w:cs="仿宋_GB2312"/>
          <w:color w:val="auto"/>
          <w:kern w:val="0"/>
          <w:sz w:val="24"/>
          <w:szCs w:val="24"/>
          <w:lang w:val="en-US" w:eastAsia="zh-CN"/>
        </w:rPr>
        <w:t>中国结算上海分公司按“首发基金代码+新业务代码”的方式向</w:t>
      </w: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系统报送非定向扩募申请数据，</w:t>
      </w: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系统将其转成“扩募基金代码+认购业务”，并按照上证</w:t>
      </w:r>
      <w:r>
        <w:rPr>
          <w:rFonts w:hint="default" w:ascii="Times New Roman" w:hAnsi="Times New Roman" w:eastAsia="楷体_GB2312" w:cs="Times New Roman"/>
          <w:color w:val="auto"/>
          <w:kern w:val="0"/>
          <w:sz w:val="24"/>
          <w:szCs w:val="24"/>
          <w:lang w:val="en-US" w:eastAsia="zh-CN"/>
        </w:rPr>
        <w:t>REITs</w:t>
      </w:r>
      <w:r>
        <w:rPr>
          <w:rFonts w:hint="eastAsia" w:ascii="宋体" w:hAnsi="宋体" w:eastAsia="楷体_GB2312" w:cs="仿宋_GB2312"/>
          <w:color w:val="auto"/>
          <w:kern w:val="0"/>
          <w:sz w:val="24"/>
          <w:szCs w:val="24"/>
          <w:lang w:val="en-US" w:eastAsia="zh-CN"/>
        </w:rPr>
        <w:t>认购业务处理流程与管理人完成数据交互。同时，</w:t>
      </w: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系统会将扩募基金代码的认购和基金成立回报转成“首发基金代码+新业务代码”发送给中国结算上海分公司。</w:t>
      </w:r>
    </w:p>
    <w:p w14:paraId="16D8FECB">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val="en-US" w:eastAsia="zh-CN"/>
        </w:rPr>
      </w:pPr>
      <w:r>
        <w:rPr>
          <w:rFonts w:hint="eastAsia" w:ascii="宋体" w:hAnsi="宋体" w:eastAsia="楷体_GB2312" w:cs="仿宋_GB2312"/>
          <w:color w:val="auto"/>
          <w:kern w:val="0"/>
          <w:sz w:val="24"/>
          <w:szCs w:val="24"/>
          <w:lang w:val="en-US" w:eastAsia="zh-CN"/>
        </w:rPr>
        <w:t>在“</w:t>
      </w:r>
      <w:r>
        <w:rPr>
          <w:rFonts w:hint="eastAsia" w:ascii="宋体" w:hAnsi="宋体" w:eastAsia="楷体_GB2312" w:cs="仿宋_GB2312"/>
          <w:color w:val="auto"/>
          <w:kern w:val="0"/>
          <w:sz w:val="24"/>
          <w:szCs w:val="24"/>
          <w:lang w:eastAsia="zh-CN"/>
        </w:rPr>
        <w:t>扩募基金代码</w:t>
      </w:r>
      <w:r>
        <w:rPr>
          <w:rFonts w:hint="eastAsia" w:ascii="宋体" w:hAnsi="宋体" w:eastAsia="楷体_GB2312" w:cs="仿宋_GB2312"/>
          <w:color w:val="auto"/>
          <w:kern w:val="0"/>
          <w:sz w:val="24"/>
          <w:szCs w:val="24"/>
          <w:lang w:val="en-US" w:eastAsia="zh-CN"/>
        </w:rPr>
        <w:t>”完成</w:t>
      </w:r>
      <w:r>
        <w:rPr>
          <w:rFonts w:hint="eastAsia" w:ascii="宋体" w:hAnsi="宋体" w:eastAsia="楷体_GB2312" w:cs="仿宋_GB2312"/>
          <w:color w:val="auto"/>
          <w:kern w:val="0"/>
          <w:sz w:val="24"/>
          <w:szCs w:val="24"/>
          <w:lang w:eastAsia="zh-CN"/>
        </w:rPr>
        <w:t>初始份额登记的当批次，</w:t>
      </w: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系统将场内投资者持有的扩募基金代码份额等值转登记为首发基金代码份额，并给管理人发送扩募基金代码的强减业务回报和首发基金代码的强增业务回报。</w:t>
      </w:r>
    </w:p>
    <w:p w14:paraId="4E23BD69">
      <w:pPr>
        <w:pStyle w:val="4"/>
        <w:bidi w:val="0"/>
        <w:spacing w:before="100" w:after="100"/>
        <w:ind w:left="23" w:firstLine="403"/>
        <w:rPr>
          <w:rFonts w:hint="eastAsia" w:asciiTheme="minorHAnsi" w:hAnsiTheme="minorHAnsi" w:eastAsiaTheme="minorEastAsia" w:cstheme="minorBidi"/>
          <w:color w:val="auto"/>
          <w:sz w:val="32"/>
          <w:szCs w:val="32"/>
          <w:lang w:eastAsia="zh-CN"/>
        </w:rPr>
      </w:pPr>
      <w:r>
        <w:rPr>
          <w:rFonts w:hint="eastAsia" w:asciiTheme="minorHAnsi" w:hAnsiTheme="minorHAnsi" w:eastAsiaTheme="minorEastAsia" w:cstheme="minorBidi"/>
          <w:color w:val="auto"/>
          <w:sz w:val="32"/>
          <w:szCs w:val="32"/>
          <w:lang w:eastAsia="zh-CN"/>
        </w:rPr>
        <w:t>场外</w:t>
      </w:r>
      <w:r>
        <w:rPr>
          <w:rFonts w:hint="eastAsia" w:cstheme="minorBidi"/>
          <w:sz w:val="32"/>
          <w:szCs w:val="32"/>
          <w:lang w:eastAsia="zh-CN"/>
        </w:rPr>
        <w:t>交易处理</w:t>
      </w:r>
    </w:p>
    <w:p w14:paraId="1E2F7940">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val="en-US" w:eastAsia="zh-CN"/>
        </w:rPr>
      </w:pP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系统按照上证</w:t>
      </w:r>
      <w:r>
        <w:rPr>
          <w:rFonts w:hint="default" w:ascii="Times New Roman" w:hAnsi="Times New Roman" w:eastAsia="楷体_GB2312" w:cs="Times New Roman"/>
          <w:color w:val="auto"/>
          <w:kern w:val="0"/>
          <w:sz w:val="24"/>
          <w:szCs w:val="24"/>
          <w:lang w:val="en-US" w:eastAsia="zh-CN"/>
        </w:rPr>
        <w:t>REITs</w:t>
      </w:r>
      <w:r>
        <w:rPr>
          <w:rFonts w:hint="eastAsia" w:ascii="Times New Roman" w:hAnsi="Times New Roman" w:eastAsia="楷体_GB2312" w:cs="Times New Roman"/>
          <w:color w:val="auto"/>
          <w:kern w:val="0"/>
          <w:sz w:val="24"/>
          <w:szCs w:val="24"/>
          <w:lang w:val="en-US" w:eastAsia="zh-CN"/>
        </w:rPr>
        <w:t>场外</w:t>
      </w:r>
      <w:r>
        <w:rPr>
          <w:rFonts w:hint="eastAsia" w:ascii="宋体" w:hAnsi="宋体" w:eastAsia="楷体_GB2312" w:cs="仿宋_GB2312"/>
          <w:color w:val="auto"/>
          <w:kern w:val="0"/>
          <w:sz w:val="24"/>
          <w:szCs w:val="24"/>
          <w:lang w:val="en-US" w:eastAsia="zh-CN"/>
        </w:rPr>
        <w:t>认购业务处理流程与管理人完成数据交互。但在“</w:t>
      </w:r>
      <w:r>
        <w:rPr>
          <w:rFonts w:hint="eastAsia" w:ascii="宋体" w:hAnsi="宋体" w:eastAsia="楷体_GB2312" w:cs="仿宋_GB2312"/>
          <w:color w:val="auto"/>
          <w:kern w:val="0"/>
          <w:sz w:val="24"/>
          <w:szCs w:val="24"/>
          <w:lang w:eastAsia="zh-CN"/>
        </w:rPr>
        <w:t>扩募基金代码</w:t>
      </w:r>
      <w:r>
        <w:rPr>
          <w:rFonts w:hint="eastAsia" w:ascii="宋体" w:hAnsi="宋体" w:eastAsia="楷体_GB2312" w:cs="仿宋_GB2312"/>
          <w:color w:val="auto"/>
          <w:kern w:val="0"/>
          <w:sz w:val="24"/>
          <w:szCs w:val="24"/>
          <w:lang w:val="en-US" w:eastAsia="zh-CN"/>
        </w:rPr>
        <w:t>”完成初始份额登记的当批次，</w:t>
      </w: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系统将场外投资者持有的扩募基金代码份额将等值转登记为首发基金代码份额，并给管理人和代理人发送扩募基金代码的强减业务回报和首发基金代码的强增业务回报</w:t>
      </w:r>
      <w:r>
        <w:rPr>
          <w:rFonts w:hint="eastAsia" w:ascii="宋体" w:hAnsi="宋体" w:eastAsia="楷体_GB2312" w:cs="仿宋_GB2312"/>
          <w:color w:val="auto"/>
          <w:kern w:val="0"/>
          <w:sz w:val="24"/>
          <w:szCs w:val="24"/>
          <w:lang w:eastAsia="zh-CN"/>
        </w:rPr>
        <w:t>。</w:t>
      </w:r>
    </w:p>
    <w:p w14:paraId="366D39AB">
      <w:pPr>
        <w:pStyle w:val="3"/>
        <w:autoSpaceDE w:val="0"/>
        <w:autoSpaceDN w:val="0"/>
        <w:adjustRightInd w:val="0"/>
        <w:spacing w:before="100" w:after="100" w:line="360" w:lineRule="auto"/>
        <w:ind w:left="839" w:hanging="420"/>
        <w:jc w:val="left"/>
        <w:rPr>
          <w:rFonts w:hint="eastAsia" w:asciiTheme="majorHAnsi" w:hAnsiTheme="majorHAnsi" w:eastAsiaTheme="majorEastAsia" w:cstheme="majorBidi"/>
          <w:b/>
          <w:bCs/>
          <w:color w:val="auto"/>
          <w:kern w:val="2"/>
          <w:sz w:val="32"/>
          <w:szCs w:val="32"/>
          <w:lang w:val="en-US" w:eastAsia="zh-CN" w:bidi="ar-SA"/>
        </w:rPr>
      </w:pPr>
      <w:r>
        <w:rPr>
          <w:rFonts w:hint="eastAsia" w:asciiTheme="majorHAnsi" w:hAnsiTheme="majorHAnsi" w:eastAsiaTheme="majorEastAsia" w:cstheme="majorBidi"/>
          <w:b/>
          <w:bCs/>
          <w:color w:val="auto"/>
          <w:kern w:val="2"/>
          <w:sz w:val="32"/>
          <w:szCs w:val="32"/>
          <w:lang w:val="en-US" w:eastAsia="zh-CN" w:bidi="ar-SA"/>
        </w:rPr>
        <w:t>资金清算</w:t>
      </w:r>
    </w:p>
    <w:p w14:paraId="41859E1B">
      <w:pPr>
        <w:autoSpaceDE w:val="0"/>
        <w:autoSpaceDN w:val="0"/>
        <w:adjustRightInd w:val="0"/>
        <w:spacing w:line="360" w:lineRule="auto"/>
        <w:ind w:firstLine="480" w:firstLineChars="200"/>
        <w:jc w:val="left"/>
        <w:rPr>
          <w:rFonts w:hint="eastAsia" w:ascii="宋体" w:hAnsi="宋体" w:eastAsia="楷体_GB2312" w:cs="仿宋_GB2312"/>
          <w:color w:val="auto"/>
          <w:kern w:val="0"/>
          <w:sz w:val="24"/>
          <w:szCs w:val="24"/>
          <w:lang w:val="en-US" w:eastAsia="zh-CN"/>
        </w:rPr>
      </w:pP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系统按照上证</w:t>
      </w:r>
      <w:r>
        <w:rPr>
          <w:rFonts w:hint="default" w:ascii="Times New Roman" w:hAnsi="Times New Roman" w:eastAsia="楷体_GB2312" w:cs="Times New Roman"/>
          <w:color w:val="auto"/>
          <w:kern w:val="0"/>
          <w:sz w:val="24"/>
          <w:szCs w:val="24"/>
          <w:lang w:val="en-US" w:eastAsia="zh-CN"/>
        </w:rPr>
        <w:t>REITs</w:t>
      </w:r>
      <w:r>
        <w:rPr>
          <w:rFonts w:hint="eastAsia" w:ascii="宋体" w:hAnsi="宋体" w:eastAsia="楷体_GB2312" w:cs="仿宋_GB2312"/>
          <w:color w:val="auto"/>
          <w:kern w:val="0"/>
          <w:sz w:val="24"/>
          <w:szCs w:val="24"/>
          <w:lang w:val="en-US" w:eastAsia="zh-CN"/>
        </w:rPr>
        <w:t>相关规则完成对扩募基金代码的场内和场外交易的资金清算，但场内交易对应的资金指令中“基金代码”字段赋值为“首发基金代码”，而不是“扩募基金代码”。</w:t>
      </w:r>
    </w:p>
    <w:p w14:paraId="4470B7B7">
      <w:pPr>
        <w:autoSpaceDE w:val="0"/>
        <w:autoSpaceDN w:val="0"/>
        <w:adjustRightInd w:val="0"/>
        <w:spacing w:line="360" w:lineRule="auto"/>
        <w:ind w:firstLine="482" w:firstLineChars="200"/>
        <w:jc w:val="left"/>
        <w:rPr>
          <w:rFonts w:hint="eastAsia" w:ascii="宋体" w:hAnsi="宋体" w:eastAsia="楷体_GB2312" w:cs="仿宋_GB2312"/>
          <w:color w:val="auto"/>
          <w:kern w:val="0"/>
          <w:sz w:val="24"/>
          <w:szCs w:val="24"/>
          <w:lang w:val="en-US" w:eastAsia="zh-CN"/>
        </w:rPr>
      </w:pPr>
      <w:r>
        <w:rPr>
          <w:rFonts w:hint="eastAsia" w:ascii="宋体" w:hAnsi="宋体" w:eastAsia="楷体_GB2312" w:cs="仿宋_GB2312"/>
          <w:b/>
          <w:bCs/>
          <w:color w:val="auto"/>
          <w:kern w:val="0"/>
          <w:sz w:val="24"/>
          <w:szCs w:val="24"/>
          <w:lang w:val="en-US" w:eastAsia="zh-CN"/>
        </w:rPr>
        <w:t>请注意：</w:t>
      </w: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系统给管理人的场内交易资金指令中“基金代码”字段赋值为“首发基金代码”，但给管理人的场内交易回报中“基金代码字段”赋值为“扩募基金代码”。</w:t>
      </w:r>
    </w:p>
    <w:p w14:paraId="66A058B6">
      <w:pPr>
        <w:pStyle w:val="3"/>
        <w:autoSpaceDE w:val="0"/>
        <w:autoSpaceDN w:val="0"/>
        <w:adjustRightInd w:val="0"/>
        <w:spacing w:before="100" w:after="100" w:line="360" w:lineRule="auto"/>
        <w:ind w:left="839" w:hanging="420"/>
        <w:jc w:val="left"/>
        <w:rPr>
          <w:rFonts w:hint="eastAsia" w:asciiTheme="majorHAnsi" w:hAnsiTheme="majorHAnsi" w:eastAsiaTheme="majorEastAsia" w:cstheme="majorBidi"/>
          <w:b/>
          <w:bCs/>
          <w:color w:val="auto"/>
          <w:kern w:val="2"/>
          <w:sz w:val="32"/>
          <w:szCs w:val="32"/>
          <w:lang w:val="en-US" w:eastAsia="zh-CN" w:bidi="ar-SA"/>
        </w:rPr>
      </w:pPr>
      <w:r>
        <w:rPr>
          <w:rFonts w:hint="eastAsia" w:asciiTheme="majorHAnsi" w:hAnsiTheme="majorHAnsi" w:eastAsiaTheme="majorEastAsia" w:cstheme="majorBidi"/>
          <w:b/>
          <w:bCs/>
          <w:color w:val="auto"/>
          <w:kern w:val="2"/>
          <w:sz w:val="32"/>
          <w:szCs w:val="32"/>
          <w:lang w:val="en-US" w:eastAsia="zh-CN" w:bidi="ar-SA"/>
        </w:rPr>
        <w:t>特殊功能点说明</w:t>
      </w:r>
    </w:p>
    <w:p w14:paraId="4A55AA41">
      <w:pPr>
        <w:numPr>
          <w:ilvl w:val="0"/>
          <w:numId w:val="2"/>
        </w:numPr>
        <w:autoSpaceDE w:val="0"/>
        <w:autoSpaceDN w:val="0"/>
        <w:adjustRightInd w:val="0"/>
        <w:spacing w:line="360" w:lineRule="auto"/>
        <w:ind w:left="845" w:leftChars="0" w:hanging="425" w:firstLineChars="0"/>
        <w:jc w:val="left"/>
        <w:rPr>
          <w:rFonts w:hint="eastAsia" w:ascii="宋体" w:hAnsi="宋体" w:eastAsia="楷体_GB2312" w:cs="仿宋_GB2312"/>
          <w:color w:val="auto"/>
          <w:kern w:val="0"/>
          <w:sz w:val="24"/>
          <w:szCs w:val="24"/>
          <w:lang w:eastAsia="zh-CN"/>
        </w:rPr>
      </w:pPr>
      <w:r>
        <w:rPr>
          <w:rFonts w:hint="default" w:ascii="Times New Roman" w:hAnsi="Times New Roman" w:eastAsia="楷体_GB2312" w:cs="Times New Roman"/>
          <w:color w:val="auto"/>
          <w:kern w:val="0"/>
          <w:sz w:val="24"/>
          <w:szCs w:val="24"/>
          <w:lang w:val="en-US" w:eastAsia="zh-CN"/>
        </w:rPr>
        <w:t>TA</w:t>
      </w:r>
      <w:r>
        <w:rPr>
          <w:rFonts w:hint="eastAsia" w:ascii="宋体" w:hAnsi="宋体" w:eastAsia="楷体_GB2312" w:cs="仿宋_GB2312"/>
          <w:color w:val="auto"/>
          <w:kern w:val="0"/>
          <w:sz w:val="24"/>
          <w:szCs w:val="24"/>
          <w:lang w:val="en-US" w:eastAsia="zh-CN"/>
        </w:rPr>
        <w:t>系统</w:t>
      </w:r>
      <w:r>
        <w:rPr>
          <w:rFonts w:hint="eastAsia" w:ascii="宋体" w:hAnsi="宋体" w:eastAsia="楷体_GB2312" w:cs="仿宋_GB2312"/>
          <w:color w:val="auto"/>
          <w:kern w:val="0"/>
          <w:sz w:val="24"/>
          <w:szCs w:val="24"/>
          <w:lang w:eastAsia="zh-CN"/>
        </w:rPr>
        <w:t>不再支持管理人通过</w:t>
      </w:r>
      <w:r>
        <w:rPr>
          <w:rFonts w:hint="default" w:ascii="Times New Roman" w:hAnsi="Times New Roman" w:eastAsia="楷体_GB2312" w:cs="Times New Roman"/>
          <w:color w:val="auto"/>
          <w:kern w:val="0"/>
          <w:sz w:val="24"/>
          <w:szCs w:val="24"/>
          <w:lang w:val="en-US" w:eastAsia="zh-CN"/>
        </w:rPr>
        <w:t>83</w:t>
      </w:r>
      <w:r>
        <w:rPr>
          <w:rFonts w:hint="eastAsia" w:ascii="宋体" w:hAnsi="宋体" w:eastAsia="楷体_GB2312" w:cs="仿宋_GB2312"/>
          <w:color w:val="auto"/>
          <w:kern w:val="0"/>
          <w:sz w:val="24"/>
          <w:szCs w:val="24"/>
          <w:lang w:val="en-US" w:eastAsia="zh-CN"/>
        </w:rPr>
        <w:t>文件发起</w:t>
      </w:r>
      <w:r>
        <w:rPr>
          <w:rFonts w:hint="eastAsia" w:ascii="宋体" w:hAnsi="宋体" w:eastAsia="楷体_GB2312" w:cs="仿宋_GB2312"/>
          <w:color w:val="auto"/>
          <w:kern w:val="0"/>
          <w:sz w:val="24"/>
          <w:szCs w:val="24"/>
          <w:lang w:eastAsia="zh-CN"/>
        </w:rPr>
        <w:t>锁定和解锁业务，未来管理人仅可通过中国结算柜台对投资者份额进行锁定和解锁。</w:t>
      </w:r>
    </w:p>
    <w:p w14:paraId="083AF198">
      <w:pPr>
        <w:numPr>
          <w:ilvl w:val="0"/>
          <w:numId w:val="2"/>
        </w:numPr>
        <w:autoSpaceDE w:val="0"/>
        <w:autoSpaceDN w:val="0"/>
        <w:adjustRightInd w:val="0"/>
        <w:spacing w:line="360" w:lineRule="auto"/>
        <w:ind w:left="845" w:leftChars="0" w:hanging="425" w:firstLineChars="0"/>
        <w:jc w:val="lef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lang w:eastAsia="zh-CN"/>
        </w:rPr>
        <w:t>扩募基金代码的行情信息不转发送给上交所。</w:t>
      </w:r>
    </w:p>
    <w:p w14:paraId="5BA762D2">
      <w:pPr>
        <w:numPr>
          <w:ilvl w:val="0"/>
          <w:numId w:val="2"/>
        </w:numPr>
        <w:autoSpaceDE w:val="0"/>
        <w:autoSpaceDN w:val="0"/>
        <w:adjustRightInd w:val="0"/>
        <w:spacing w:line="360" w:lineRule="auto"/>
        <w:ind w:left="845" w:leftChars="0" w:hanging="425" w:firstLineChars="0"/>
        <w:jc w:val="lef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lang w:eastAsia="zh-CN"/>
        </w:rPr>
        <w:t>份额转登记处理生成的强增和强减业务回报中部分字段赋值逻辑如下：</w:t>
      </w:r>
    </w:p>
    <w:p w14:paraId="0EA68932">
      <w:pPr>
        <w:numPr>
          <w:ilvl w:val="0"/>
          <w:numId w:val="3"/>
        </w:numPr>
        <w:autoSpaceDE w:val="0"/>
        <w:autoSpaceDN w:val="0"/>
        <w:adjustRightInd w:val="0"/>
        <w:spacing w:line="360" w:lineRule="auto"/>
        <w:ind w:left="1265" w:leftChars="0" w:hanging="425" w:firstLineChars="0"/>
        <w:jc w:val="lef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lang w:eastAsia="zh-CN"/>
        </w:rPr>
        <w:t>强减业务回报中“对方基金代码”字段赋值为“首发基金代码”；</w:t>
      </w:r>
    </w:p>
    <w:p w14:paraId="2A6B510A">
      <w:pPr>
        <w:numPr>
          <w:ilvl w:val="0"/>
          <w:numId w:val="3"/>
        </w:numPr>
        <w:autoSpaceDE w:val="0"/>
        <w:autoSpaceDN w:val="0"/>
        <w:adjustRightInd w:val="0"/>
        <w:spacing w:line="360" w:lineRule="auto"/>
        <w:ind w:left="1265" w:leftChars="0" w:hanging="425" w:firstLineChars="0"/>
        <w:jc w:val="lef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lang w:eastAsia="zh-CN"/>
        </w:rPr>
        <w:t>强增业务中“对方基金代码”字段赋值“扩募基金代码”；</w:t>
      </w:r>
    </w:p>
    <w:p w14:paraId="26968519">
      <w:pPr>
        <w:numPr>
          <w:ilvl w:val="0"/>
          <w:numId w:val="3"/>
        </w:numPr>
        <w:autoSpaceDE w:val="0"/>
        <w:autoSpaceDN w:val="0"/>
        <w:adjustRightInd w:val="0"/>
        <w:spacing w:line="360" w:lineRule="auto"/>
        <w:ind w:left="1265" w:leftChars="0" w:hanging="425" w:firstLineChars="0"/>
        <w:jc w:val="left"/>
        <w:rPr>
          <w:rFonts w:hint="eastAsia" w:ascii="宋体" w:hAnsi="宋体" w:eastAsia="楷体_GB2312" w:cs="仿宋_GB2312"/>
          <w:color w:val="auto"/>
          <w:kern w:val="0"/>
          <w:sz w:val="24"/>
          <w:szCs w:val="24"/>
          <w:lang w:val="en-US" w:eastAsia="zh-CN"/>
        </w:rPr>
      </w:pPr>
      <w:r>
        <w:rPr>
          <w:rFonts w:hint="eastAsia" w:ascii="宋体" w:hAnsi="宋体" w:eastAsia="楷体_GB2312" w:cs="仿宋_GB2312"/>
          <w:color w:val="auto"/>
          <w:kern w:val="0"/>
          <w:sz w:val="24"/>
          <w:szCs w:val="24"/>
          <w:lang w:eastAsia="zh-CN"/>
        </w:rPr>
        <w:t>“份额强制调整标志”字段赋值为</w:t>
      </w:r>
      <w:r>
        <w:rPr>
          <w:rFonts w:hint="eastAsia" w:ascii="宋体" w:hAnsi="宋体" w:eastAsia="楷体_GB2312" w:cs="仿宋_GB2312"/>
          <w:color w:val="auto"/>
          <w:kern w:val="0"/>
          <w:sz w:val="24"/>
          <w:szCs w:val="24"/>
          <w:lang w:val="en-US" w:eastAsia="zh-CN"/>
        </w:rPr>
        <w:t>“</w:t>
      </w:r>
      <w:r>
        <w:rPr>
          <w:rFonts w:hint="default" w:ascii="Times New Roman" w:hAnsi="Times New Roman" w:eastAsia="楷体_GB2312" w:cs="Times New Roman"/>
          <w:color w:val="auto"/>
          <w:kern w:val="0"/>
          <w:sz w:val="24"/>
          <w:szCs w:val="24"/>
          <w:lang w:val="en-US" w:eastAsia="zh-CN"/>
        </w:rPr>
        <w:t>0</w:t>
      </w:r>
      <w:r>
        <w:rPr>
          <w:rFonts w:hint="eastAsia" w:ascii="宋体" w:hAnsi="宋体" w:eastAsia="楷体_GB2312" w:cs="仿宋_GB2312"/>
          <w:color w:val="auto"/>
          <w:kern w:val="0"/>
          <w:sz w:val="24"/>
          <w:szCs w:val="24"/>
          <w:lang w:val="en-US" w:eastAsia="zh-CN"/>
        </w:rPr>
        <w:t>-柜台业务”。</w:t>
      </w:r>
    </w:p>
    <w:p w14:paraId="3CFA40F8">
      <w:pPr>
        <w:numPr>
          <w:ilvl w:val="0"/>
          <w:numId w:val="2"/>
        </w:numPr>
        <w:autoSpaceDE w:val="0"/>
        <w:autoSpaceDN w:val="0"/>
        <w:adjustRightInd w:val="0"/>
        <w:spacing w:line="360" w:lineRule="auto"/>
        <w:ind w:left="845" w:leftChars="0" w:hanging="425" w:firstLineChars="0"/>
        <w:jc w:val="left"/>
        <w:rPr>
          <w:rFonts w:hint="default" w:ascii="宋体" w:hAnsi="宋体" w:eastAsia="楷体_GB2312" w:cs="仿宋_GB2312"/>
          <w:color w:val="auto"/>
          <w:kern w:val="0"/>
          <w:sz w:val="24"/>
          <w:szCs w:val="24"/>
          <w:lang w:val="en-US" w:eastAsia="zh-CN"/>
        </w:rPr>
      </w:pPr>
      <w:r>
        <w:rPr>
          <w:rFonts w:hint="eastAsia" w:ascii="宋体" w:hAnsi="宋体" w:eastAsia="楷体_GB2312" w:cs="仿宋_GB2312"/>
          <w:color w:val="auto"/>
          <w:kern w:val="0"/>
          <w:sz w:val="24"/>
          <w:szCs w:val="24"/>
          <w:lang w:val="en-US" w:eastAsia="zh-CN"/>
        </w:rPr>
        <w:t>新版管理人接口参见《中国结算开放式基金登记结算系统管理人数据接口规范</w:t>
      </w:r>
      <w:r>
        <w:rPr>
          <w:rFonts w:hint="default" w:ascii="Times New Roman" w:hAnsi="Times New Roman" w:eastAsia="楷体_GB2312" w:cs="Times New Roman"/>
          <w:color w:val="auto"/>
          <w:kern w:val="0"/>
          <w:sz w:val="24"/>
          <w:szCs w:val="24"/>
          <w:lang w:val="en-US" w:eastAsia="zh-CN"/>
        </w:rPr>
        <w:t>V1</w:t>
      </w:r>
      <w:r>
        <w:rPr>
          <w:rFonts w:hint="eastAsia" w:ascii="宋体" w:hAnsi="宋体" w:eastAsia="楷体_GB2312" w:cs="仿宋_GB2312"/>
          <w:color w:val="auto"/>
          <w:kern w:val="0"/>
          <w:sz w:val="24"/>
          <w:szCs w:val="24"/>
          <w:lang w:val="en-US" w:eastAsia="zh-CN"/>
        </w:rPr>
        <w:t>.</w:t>
      </w:r>
      <w:r>
        <w:rPr>
          <w:rFonts w:hint="default" w:ascii="Times New Roman" w:hAnsi="Times New Roman" w:eastAsia="楷体_GB2312" w:cs="Times New Roman"/>
          <w:color w:val="auto"/>
          <w:kern w:val="0"/>
          <w:sz w:val="24"/>
          <w:szCs w:val="24"/>
          <w:lang w:val="en-US" w:eastAsia="zh-CN"/>
        </w:rPr>
        <w:t>2</w:t>
      </w:r>
      <w:r>
        <w:rPr>
          <w:rFonts w:hint="eastAsia" w:ascii="宋体" w:hAnsi="宋体" w:eastAsia="楷体_GB2312" w:cs="仿宋_GB2312"/>
          <w:color w:val="auto"/>
          <w:kern w:val="0"/>
          <w:sz w:val="24"/>
          <w:szCs w:val="24"/>
          <w:lang w:val="en-US" w:eastAsia="zh-CN"/>
        </w:rPr>
        <w:t>-</w:t>
      </w:r>
      <w:r>
        <w:rPr>
          <w:rFonts w:hint="default" w:ascii="Times New Roman" w:hAnsi="Times New Roman" w:eastAsia="楷体_GB2312" w:cs="Times New Roman"/>
          <w:color w:val="auto"/>
          <w:kern w:val="0"/>
          <w:sz w:val="24"/>
          <w:szCs w:val="24"/>
          <w:lang w:val="en-US" w:eastAsia="zh-CN"/>
        </w:rPr>
        <w:t>20241218</w:t>
      </w:r>
      <w:r>
        <w:rPr>
          <w:rFonts w:hint="eastAsia" w:ascii="宋体" w:hAnsi="宋体" w:eastAsia="楷体_GB2312" w:cs="仿宋_GB2312"/>
          <w:color w:val="auto"/>
          <w:kern w:val="0"/>
          <w:sz w:val="24"/>
          <w:szCs w:val="24"/>
          <w:lang w:val="en-US" w:eastAsia="zh-CN"/>
        </w:rPr>
        <w:t>修订版》。</w:t>
      </w:r>
    </w:p>
    <w:p w14:paraId="3140BCAD">
      <w:pPr>
        <w:pStyle w:val="2"/>
        <w:ind w:firstLine="0"/>
        <w:outlineLvl w:val="0"/>
      </w:pPr>
      <w:r>
        <w:rPr>
          <w:rFonts w:hint="eastAsia"/>
        </w:rPr>
        <w:t>联系</w:t>
      </w:r>
      <w:r>
        <w:t>方式</w:t>
      </w:r>
    </w:p>
    <w:p w14:paraId="1B109697">
      <w:pPr>
        <w:pStyle w:val="25"/>
        <w:spacing w:line="360" w:lineRule="auto"/>
        <w:ind w:firstLine="420" w:firstLineChars="0"/>
        <w:rPr>
          <w:rFonts w:hint="default" w:ascii="宋体" w:hAnsi="宋体" w:eastAsia="楷体_GB2312" w:cs="仿宋_GB2312"/>
          <w:color w:val="auto"/>
          <w:kern w:val="0"/>
          <w:sz w:val="24"/>
          <w:szCs w:val="24"/>
          <w:lang w:val="en-US" w:eastAsia="zh-CN"/>
        </w:rPr>
      </w:pPr>
      <w:r>
        <w:rPr>
          <w:rFonts w:hint="eastAsia" w:ascii="宋体" w:hAnsi="宋体" w:eastAsia="楷体_GB2312" w:cs="仿宋_GB2312"/>
          <w:color w:val="auto"/>
          <w:kern w:val="0"/>
          <w:sz w:val="24"/>
          <w:szCs w:val="24"/>
          <w:lang w:eastAsia="zh-CN"/>
        </w:rPr>
        <w:t>本项目择期将由上交所统一组织市场参与机构开展联合</w:t>
      </w:r>
      <w:r>
        <w:rPr>
          <w:rFonts w:hint="eastAsia" w:ascii="宋体" w:hAnsi="宋体" w:eastAsia="楷体_GB2312" w:cs="仿宋_GB2312"/>
          <w:color w:val="auto"/>
          <w:kern w:val="0"/>
          <w:sz w:val="24"/>
          <w:szCs w:val="24"/>
        </w:rPr>
        <w:t>测试</w:t>
      </w:r>
      <w:r>
        <w:rPr>
          <w:rFonts w:hint="eastAsia" w:ascii="宋体" w:hAnsi="宋体" w:eastAsia="楷体_GB2312" w:cs="仿宋_GB2312"/>
          <w:color w:val="auto"/>
          <w:kern w:val="0"/>
          <w:sz w:val="24"/>
          <w:szCs w:val="24"/>
          <w:lang w:eastAsia="zh-CN"/>
        </w:rPr>
        <w:t>、有测试需求的参与机构请提前联系上交所进行报名，同时</w:t>
      </w:r>
      <w:r>
        <w:rPr>
          <w:rFonts w:hint="eastAsia" w:ascii="宋体" w:hAnsi="宋体" w:eastAsia="楷体_GB2312" w:cs="仿宋_GB2312"/>
          <w:color w:val="auto"/>
          <w:kern w:val="0"/>
          <w:sz w:val="24"/>
          <w:szCs w:val="24"/>
        </w:rPr>
        <w:t>各参与人</w:t>
      </w:r>
      <w:r>
        <w:rPr>
          <w:rFonts w:ascii="宋体" w:hAnsi="宋体" w:eastAsia="楷体_GB2312" w:cs="仿宋_GB2312"/>
          <w:color w:val="auto"/>
          <w:kern w:val="0"/>
          <w:sz w:val="24"/>
          <w:szCs w:val="24"/>
        </w:rPr>
        <w:t>如有</w:t>
      </w:r>
      <w:r>
        <w:rPr>
          <w:rFonts w:hint="eastAsia" w:ascii="宋体" w:hAnsi="宋体" w:eastAsia="楷体_GB2312" w:cs="仿宋_GB2312"/>
          <w:color w:val="auto"/>
          <w:kern w:val="0"/>
          <w:sz w:val="24"/>
          <w:szCs w:val="24"/>
        </w:rPr>
        <w:t>与中国</w:t>
      </w:r>
      <w:r>
        <w:rPr>
          <w:rFonts w:ascii="宋体" w:hAnsi="宋体" w:eastAsia="楷体_GB2312" w:cs="仿宋_GB2312"/>
          <w:color w:val="auto"/>
          <w:kern w:val="0"/>
          <w:sz w:val="24"/>
          <w:szCs w:val="24"/>
        </w:rPr>
        <w:t>结算</w:t>
      </w:r>
      <w:r>
        <w:rPr>
          <w:rFonts w:ascii="Times New Roman" w:hAnsi="Times New Roman" w:eastAsia="楷体_GB2312" w:cs="Times New Roman"/>
          <w:color w:val="auto"/>
          <w:kern w:val="0"/>
          <w:sz w:val="24"/>
          <w:szCs w:val="24"/>
        </w:rPr>
        <w:t>TA</w:t>
      </w:r>
      <w:r>
        <w:rPr>
          <w:rFonts w:ascii="宋体" w:hAnsi="宋体" w:eastAsia="楷体_GB2312" w:cs="仿宋_GB2312"/>
          <w:color w:val="auto"/>
          <w:kern w:val="0"/>
          <w:sz w:val="24"/>
          <w:szCs w:val="24"/>
        </w:rPr>
        <w:t>系统</w:t>
      </w:r>
      <w:r>
        <w:rPr>
          <w:rFonts w:hint="eastAsia" w:ascii="宋体" w:hAnsi="宋体" w:eastAsia="楷体_GB2312" w:cs="仿宋_GB2312"/>
          <w:color w:val="auto"/>
          <w:kern w:val="0"/>
          <w:sz w:val="24"/>
          <w:szCs w:val="24"/>
        </w:rPr>
        <w:t>联测</w:t>
      </w:r>
      <w:r>
        <w:rPr>
          <w:rFonts w:ascii="宋体" w:hAnsi="宋体" w:eastAsia="楷体_GB2312" w:cs="仿宋_GB2312"/>
          <w:color w:val="auto"/>
          <w:kern w:val="0"/>
          <w:sz w:val="24"/>
          <w:szCs w:val="24"/>
        </w:rPr>
        <w:t>需求，请联系</w:t>
      </w:r>
      <w:r>
        <w:rPr>
          <w:rFonts w:hint="default" w:ascii="Times New Roman" w:hAnsi="Times New Roman" w:eastAsia="楷体_GB2312" w:cs="Times New Roman"/>
          <w:color w:val="auto"/>
          <w:kern w:val="0"/>
          <w:sz w:val="24"/>
          <w:szCs w:val="24"/>
        </w:rPr>
        <w:t>010</w:t>
      </w:r>
      <w:r>
        <w:rPr>
          <w:rFonts w:hint="eastAsia" w:ascii="宋体" w:hAnsi="宋体" w:eastAsia="楷体_GB2312" w:cs="仿宋_GB2312"/>
          <w:color w:val="auto"/>
          <w:kern w:val="0"/>
          <w:sz w:val="24"/>
          <w:szCs w:val="24"/>
        </w:rPr>
        <w:t>-</w:t>
      </w:r>
      <w:r>
        <w:rPr>
          <w:rFonts w:hint="default" w:ascii="Times New Roman" w:hAnsi="Times New Roman" w:eastAsia="楷体_GB2312" w:cs="Times New Roman"/>
          <w:color w:val="auto"/>
          <w:kern w:val="0"/>
          <w:sz w:val="24"/>
          <w:szCs w:val="24"/>
        </w:rPr>
        <w:t>50938762</w:t>
      </w:r>
      <w:r>
        <w:rPr>
          <w:rFonts w:hint="eastAsia" w:ascii="宋体" w:hAnsi="宋体" w:eastAsia="楷体_GB2312" w:cs="仿宋_GB2312"/>
          <w:color w:val="auto"/>
          <w:kern w:val="0"/>
          <w:sz w:val="24"/>
          <w:szCs w:val="24"/>
          <w:lang w:eastAsia="zh-CN"/>
        </w:rPr>
        <w:t>。</w:t>
      </w:r>
    </w:p>
    <w:p w14:paraId="7411B8C5">
      <w:pPr>
        <w:pStyle w:val="25"/>
        <w:spacing w:line="360" w:lineRule="auto"/>
        <w:ind w:firstLine="0" w:firstLineChars="0"/>
        <w:rPr>
          <w:rFonts w:hint="eastAsia" w:ascii="宋体" w:hAnsi="宋体" w:eastAsia="楷体_GB2312" w:cs="仿宋_GB2312"/>
          <w:color w:val="auto"/>
          <w:kern w:val="0"/>
          <w:sz w:val="24"/>
          <w:szCs w:val="24"/>
        </w:rPr>
      </w:pPr>
    </w:p>
    <w:p w14:paraId="5BD25A08">
      <w:pPr>
        <w:autoSpaceDE w:val="0"/>
        <w:autoSpaceDN w:val="0"/>
        <w:adjustRightInd w:val="0"/>
        <w:spacing w:line="360" w:lineRule="auto"/>
        <w:ind w:left="0" w:firstLine="0"/>
        <w:jc w:val="right"/>
        <w:rPr>
          <w:rFonts w:hint="eastAsia" w:ascii="宋体" w:hAnsi="宋体" w:eastAsia="楷体_GB2312" w:cs="仿宋_GB2312"/>
          <w:color w:val="auto"/>
          <w:kern w:val="0"/>
          <w:sz w:val="24"/>
          <w:szCs w:val="24"/>
          <w:lang w:eastAsia="zh-CN"/>
        </w:rPr>
      </w:pPr>
      <w:r>
        <w:rPr>
          <w:rFonts w:hint="eastAsia" w:ascii="宋体" w:hAnsi="宋体" w:eastAsia="楷体_GB2312" w:cs="仿宋_GB2312"/>
          <w:color w:val="auto"/>
          <w:kern w:val="0"/>
          <w:sz w:val="24"/>
          <w:szCs w:val="24"/>
        </w:rPr>
        <w:t>中国结算基金业务部</w:t>
      </w:r>
      <w:r>
        <w:rPr>
          <w:rFonts w:hint="eastAsia" w:ascii="宋体" w:hAnsi="宋体" w:eastAsia="楷体_GB2312" w:cs="仿宋_GB2312"/>
          <w:color w:val="auto"/>
          <w:kern w:val="0"/>
          <w:sz w:val="24"/>
          <w:szCs w:val="24"/>
          <w:lang w:eastAsia="zh-CN"/>
        </w:rPr>
        <w:t>（资产托管部）</w:t>
      </w:r>
    </w:p>
    <w:p w14:paraId="612160A3">
      <w:pPr>
        <w:autoSpaceDE w:val="0"/>
        <w:autoSpaceDN w:val="0"/>
        <w:adjustRightInd w:val="0"/>
        <w:spacing w:line="360" w:lineRule="auto"/>
        <w:jc w:val="left"/>
        <w:rPr>
          <w:color w:val="auto"/>
        </w:rPr>
      </w:pPr>
      <w:r>
        <w:rPr>
          <w:rFonts w:ascii="宋体" w:hAnsi="宋体" w:eastAsia="楷体_GB2312" w:cs="仿宋_GB2312"/>
          <w:color w:val="auto"/>
          <w:kern w:val="0"/>
          <w:sz w:val="24"/>
          <w:szCs w:val="24"/>
        </w:rPr>
        <w:t xml:space="preserve">                                </w:t>
      </w:r>
      <w:r>
        <w:rPr>
          <w:rFonts w:hint="eastAsia" w:ascii="宋体" w:hAnsi="宋体" w:eastAsia="楷体_GB2312" w:cs="仿宋_GB2312"/>
          <w:color w:val="auto"/>
          <w:kern w:val="0"/>
          <w:sz w:val="24"/>
          <w:szCs w:val="24"/>
        </w:rPr>
        <w:t>　　　　</w:t>
      </w:r>
      <w:r>
        <w:rPr>
          <w:rFonts w:ascii="宋体" w:hAnsi="宋体" w:eastAsia="楷体_GB2312" w:cs="仿宋_GB2312"/>
          <w:color w:val="auto"/>
          <w:kern w:val="0"/>
          <w:sz w:val="24"/>
          <w:szCs w:val="24"/>
        </w:rPr>
        <w:t xml:space="preserve">    </w:t>
      </w:r>
      <w:r>
        <w:rPr>
          <w:rFonts w:hint="eastAsia" w:ascii="宋体" w:hAnsi="宋体" w:eastAsia="楷体_GB2312" w:cs="仿宋_GB2312"/>
          <w:color w:val="auto"/>
          <w:kern w:val="0"/>
          <w:sz w:val="24"/>
          <w:szCs w:val="24"/>
        </w:rPr>
        <w:t>　</w:t>
      </w:r>
      <w:r>
        <w:rPr>
          <w:rFonts w:hint="eastAsia" w:ascii="宋体" w:hAnsi="宋体" w:eastAsia="楷体_GB2312" w:cs="仿宋_GB2312"/>
          <w:color w:val="auto"/>
          <w:kern w:val="0"/>
          <w:sz w:val="24"/>
          <w:szCs w:val="24"/>
          <w:lang w:val="en-US" w:eastAsia="zh-CN"/>
        </w:rPr>
        <w:t xml:space="preserve">     </w:t>
      </w:r>
      <w:bookmarkStart w:id="0" w:name="_GoBack"/>
      <w:bookmarkEnd w:id="0"/>
    </w:p>
    <w:p w14:paraId="74A12CC5">
      <w:pPr>
        <w:rPr>
          <w:color w:val="auto"/>
        </w:rPr>
      </w:pP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D6F752"/>
    <w:multiLevelType w:val="multilevel"/>
    <w:tmpl w:val="FCD6F752"/>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820" w:firstLine="400"/>
      </w:pPr>
      <w:rPr>
        <w:rFonts w:hint="default" w:ascii="Times New Roman" w:hAnsi="Times New Roman" w:cs="Times New Roman"/>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0069631D"/>
    <w:multiLevelType w:val="multilevel"/>
    <w:tmpl w:val="0069631D"/>
    <w:lvl w:ilvl="0" w:tentative="0">
      <w:start w:val="1"/>
      <w:numFmt w:val="decimal"/>
      <w:lvlText w:val="%1."/>
      <w:lvlJc w:val="left"/>
      <w:pPr>
        <w:tabs>
          <w:tab w:val="left" w:pos="420"/>
        </w:tabs>
        <w:ind w:left="845" w:hanging="425"/>
      </w:pPr>
      <w:rPr>
        <w:rFonts w:hint="default"/>
      </w:rPr>
    </w:lvl>
    <w:lvl w:ilvl="1" w:tentative="0">
      <w:start w:val="1"/>
      <w:numFmt w:val="decimal"/>
      <w:lvlText w:val="(%2)"/>
      <w:lvlJc w:val="left"/>
      <w:pPr>
        <w:tabs>
          <w:tab w:val="left" w:pos="840"/>
        </w:tabs>
        <w:ind w:left="1260" w:leftChars="0" w:hanging="420" w:firstLineChars="0"/>
      </w:pPr>
      <w:rPr>
        <w:rFonts w:hint="default"/>
      </w:rPr>
    </w:lvl>
    <w:lvl w:ilvl="2" w:tentative="0">
      <w:start w:val="1"/>
      <w:numFmt w:val="decimalEnclosedCircleChinese"/>
      <w:lvlText w:val="%3"/>
      <w:lvlJc w:val="left"/>
      <w:pPr>
        <w:tabs>
          <w:tab w:val="left" w:pos="1260"/>
        </w:tabs>
        <w:ind w:left="1680" w:leftChars="0" w:hanging="420" w:firstLineChars="0"/>
      </w:pPr>
      <w:rPr>
        <w:rFonts w:hint="default"/>
      </w:rPr>
    </w:lvl>
    <w:lvl w:ilvl="3" w:tentative="0">
      <w:start w:val="1"/>
      <w:numFmt w:val="decimal"/>
      <w:lvlText w:val="%4)"/>
      <w:lvlJc w:val="left"/>
      <w:pPr>
        <w:tabs>
          <w:tab w:val="left" w:pos="1680"/>
        </w:tabs>
        <w:ind w:left="2100" w:leftChars="0" w:hanging="420" w:firstLineChars="0"/>
      </w:pPr>
      <w:rPr>
        <w:rFonts w:hint="default"/>
      </w:rPr>
    </w:lvl>
    <w:lvl w:ilvl="4" w:tentative="0">
      <w:start w:val="1"/>
      <w:numFmt w:val="lowerLetter"/>
      <w:lvlText w:val="%5."/>
      <w:lvlJc w:val="left"/>
      <w:pPr>
        <w:tabs>
          <w:tab w:val="left" w:pos="2100"/>
        </w:tabs>
        <w:ind w:left="2520" w:leftChars="0" w:hanging="420" w:firstLineChars="0"/>
      </w:pPr>
      <w:rPr>
        <w:rFonts w:hint="default"/>
      </w:rPr>
    </w:lvl>
    <w:lvl w:ilvl="5" w:tentative="0">
      <w:start w:val="1"/>
      <w:numFmt w:val="lowerLetter"/>
      <w:lvlText w:val="%6)"/>
      <w:lvlJc w:val="left"/>
      <w:pPr>
        <w:tabs>
          <w:tab w:val="left" w:pos="2520"/>
        </w:tabs>
        <w:ind w:left="2940" w:leftChars="0" w:hanging="420" w:firstLineChars="0"/>
      </w:pPr>
      <w:rPr>
        <w:rFonts w:hint="default"/>
      </w:rPr>
    </w:lvl>
    <w:lvl w:ilvl="6" w:tentative="0">
      <w:start w:val="1"/>
      <w:numFmt w:val="lowerRoman"/>
      <w:lvlText w:val="%7."/>
      <w:lvlJc w:val="left"/>
      <w:pPr>
        <w:tabs>
          <w:tab w:val="left" w:pos="2940"/>
        </w:tabs>
        <w:ind w:left="3360" w:leftChars="0" w:hanging="420" w:firstLineChars="0"/>
      </w:pPr>
      <w:rPr>
        <w:rFonts w:hint="default"/>
      </w:rPr>
    </w:lvl>
    <w:lvl w:ilvl="7" w:tentative="0">
      <w:start w:val="1"/>
      <w:numFmt w:val="lowerRoman"/>
      <w:lvlText w:val="%8)"/>
      <w:lvlJc w:val="left"/>
      <w:pPr>
        <w:tabs>
          <w:tab w:val="left" w:pos="3360"/>
        </w:tabs>
        <w:ind w:left="3780" w:leftChars="0" w:hanging="420" w:firstLineChars="0"/>
      </w:pPr>
      <w:rPr>
        <w:rFonts w:hint="default"/>
      </w:rPr>
    </w:lvl>
    <w:lvl w:ilvl="8" w:tentative="0">
      <w:start w:val="1"/>
      <w:numFmt w:val="lowerLetter"/>
      <w:lvlText w:val="%9."/>
      <w:lvlJc w:val="left"/>
      <w:pPr>
        <w:tabs>
          <w:tab w:val="left" w:pos="3780"/>
        </w:tabs>
        <w:ind w:left="4200" w:leftChars="0" w:hanging="420" w:firstLineChars="0"/>
      </w:pPr>
      <w:rPr>
        <w:rFonts w:hint="default"/>
      </w:rPr>
    </w:lvl>
  </w:abstractNum>
  <w:abstractNum w:abstractNumId="2">
    <w:nsid w:val="47281EFA"/>
    <w:multiLevelType w:val="singleLevel"/>
    <w:tmpl w:val="47281EFA"/>
    <w:lvl w:ilvl="0" w:tentative="0">
      <w:start w:val="1"/>
      <w:numFmt w:val="decimal"/>
      <w:lvlText w:val="(%1)"/>
      <w:lvlJc w:val="left"/>
      <w:pPr>
        <w:tabs>
          <w:tab w:val="left" w:pos="840"/>
        </w:tabs>
        <w:ind w:left="126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05AE0"/>
    <w:rsid w:val="00036BAD"/>
    <w:rsid w:val="00053CF1"/>
    <w:rsid w:val="00067327"/>
    <w:rsid w:val="000839EC"/>
    <w:rsid w:val="000A11D9"/>
    <w:rsid w:val="000B2CE5"/>
    <w:rsid w:val="000B3011"/>
    <w:rsid w:val="000D03A5"/>
    <w:rsid w:val="000E32B9"/>
    <w:rsid w:val="000F0373"/>
    <w:rsid w:val="00103303"/>
    <w:rsid w:val="00105AE0"/>
    <w:rsid w:val="0011049E"/>
    <w:rsid w:val="00117ABF"/>
    <w:rsid w:val="00125878"/>
    <w:rsid w:val="00130D16"/>
    <w:rsid w:val="00135824"/>
    <w:rsid w:val="0014161B"/>
    <w:rsid w:val="00141716"/>
    <w:rsid w:val="001767E2"/>
    <w:rsid w:val="00197AFB"/>
    <w:rsid w:val="001B0478"/>
    <w:rsid w:val="001D301C"/>
    <w:rsid w:val="001F3E49"/>
    <w:rsid w:val="00201A58"/>
    <w:rsid w:val="0020297D"/>
    <w:rsid w:val="00215BA2"/>
    <w:rsid w:val="0023486E"/>
    <w:rsid w:val="00237256"/>
    <w:rsid w:val="002376D0"/>
    <w:rsid w:val="002479F2"/>
    <w:rsid w:val="00271A07"/>
    <w:rsid w:val="002A03EB"/>
    <w:rsid w:val="002C446A"/>
    <w:rsid w:val="002E3BC8"/>
    <w:rsid w:val="002F2DF3"/>
    <w:rsid w:val="00300B3E"/>
    <w:rsid w:val="003021C1"/>
    <w:rsid w:val="00304877"/>
    <w:rsid w:val="00307759"/>
    <w:rsid w:val="003238BC"/>
    <w:rsid w:val="00387980"/>
    <w:rsid w:val="003B2DC1"/>
    <w:rsid w:val="003B3056"/>
    <w:rsid w:val="003B6256"/>
    <w:rsid w:val="003C3C97"/>
    <w:rsid w:val="003D2CDF"/>
    <w:rsid w:val="003D3643"/>
    <w:rsid w:val="003D490F"/>
    <w:rsid w:val="003D6522"/>
    <w:rsid w:val="003E419C"/>
    <w:rsid w:val="00415CCE"/>
    <w:rsid w:val="0043684D"/>
    <w:rsid w:val="00457017"/>
    <w:rsid w:val="00481018"/>
    <w:rsid w:val="00493C5F"/>
    <w:rsid w:val="00496754"/>
    <w:rsid w:val="004A0C39"/>
    <w:rsid w:val="004C03F6"/>
    <w:rsid w:val="004D409B"/>
    <w:rsid w:val="004E7237"/>
    <w:rsid w:val="004F3CAC"/>
    <w:rsid w:val="00514C05"/>
    <w:rsid w:val="00532D7E"/>
    <w:rsid w:val="00537EFB"/>
    <w:rsid w:val="00547217"/>
    <w:rsid w:val="0055553F"/>
    <w:rsid w:val="005675EB"/>
    <w:rsid w:val="00573FE0"/>
    <w:rsid w:val="00574378"/>
    <w:rsid w:val="005B459C"/>
    <w:rsid w:val="005F5C14"/>
    <w:rsid w:val="00661664"/>
    <w:rsid w:val="00667BDC"/>
    <w:rsid w:val="006818A0"/>
    <w:rsid w:val="00681BBC"/>
    <w:rsid w:val="006845E8"/>
    <w:rsid w:val="006A02C2"/>
    <w:rsid w:val="006C4411"/>
    <w:rsid w:val="006E12D7"/>
    <w:rsid w:val="006E4D78"/>
    <w:rsid w:val="006F11BD"/>
    <w:rsid w:val="006F5B64"/>
    <w:rsid w:val="00703B4B"/>
    <w:rsid w:val="00722D78"/>
    <w:rsid w:val="00737118"/>
    <w:rsid w:val="00746A5C"/>
    <w:rsid w:val="0075628B"/>
    <w:rsid w:val="0076772E"/>
    <w:rsid w:val="00780E8A"/>
    <w:rsid w:val="007823E3"/>
    <w:rsid w:val="007926C7"/>
    <w:rsid w:val="007D5A8D"/>
    <w:rsid w:val="007E07A7"/>
    <w:rsid w:val="007F7B2D"/>
    <w:rsid w:val="00814D1D"/>
    <w:rsid w:val="0083623B"/>
    <w:rsid w:val="00845653"/>
    <w:rsid w:val="00851FE5"/>
    <w:rsid w:val="0087758B"/>
    <w:rsid w:val="00884F0A"/>
    <w:rsid w:val="0089039D"/>
    <w:rsid w:val="00890FD2"/>
    <w:rsid w:val="00895E65"/>
    <w:rsid w:val="008A781F"/>
    <w:rsid w:val="008D2A6C"/>
    <w:rsid w:val="008D505E"/>
    <w:rsid w:val="008F255D"/>
    <w:rsid w:val="008F29B1"/>
    <w:rsid w:val="008F6955"/>
    <w:rsid w:val="009058FA"/>
    <w:rsid w:val="009066F0"/>
    <w:rsid w:val="00922CE8"/>
    <w:rsid w:val="00937B1D"/>
    <w:rsid w:val="00942965"/>
    <w:rsid w:val="00957C1D"/>
    <w:rsid w:val="00962F20"/>
    <w:rsid w:val="009743E0"/>
    <w:rsid w:val="009756CE"/>
    <w:rsid w:val="00977ED4"/>
    <w:rsid w:val="00983E9B"/>
    <w:rsid w:val="00995282"/>
    <w:rsid w:val="009C10EE"/>
    <w:rsid w:val="009D4B5A"/>
    <w:rsid w:val="009D67FC"/>
    <w:rsid w:val="009E29B3"/>
    <w:rsid w:val="009E5849"/>
    <w:rsid w:val="009E58E7"/>
    <w:rsid w:val="00A051D2"/>
    <w:rsid w:val="00A0553D"/>
    <w:rsid w:val="00A06306"/>
    <w:rsid w:val="00A074EB"/>
    <w:rsid w:val="00A07805"/>
    <w:rsid w:val="00A303CD"/>
    <w:rsid w:val="00A34EB1"/>
    <w:rsid w:val="00A3652C"/>
    <w:rsid w:val="00A3774A"/>
    <w:rsid w:val="00A463A2"/>
    <w:rsid w:val="00A6258A"/>
    <w:rsid w:val="00A83DC8"/>
    <w:rsid w:val="00AB2627"/>
    <w:rsid w:val="00AD5AB1"/>
    <w:rsid w:val="00AD715F"/>
    <w:rsid w:val="00AF30C8"/>
    <w:rsid w:val="00AF31E5"/>
    <w:rsid w:val="00AF6BC8"/>
    <w:rsid w:val="00AF7934"/>
    <w:rsid w:val="00B00534"/>
    <w:rsid w:val="00B104AB"/>
    <w:rsid w:val="00B3245A"/>
    <w:rsid w:val="00B616ED"/>
    <w:rsid w:val="00B823B5"/>
    <w:rsid w:val="00BC5EFA"/>
    <w:rsid w:val="00BD57DA"/>
    <w:rsid w:val="00BD6C78"/>
    <w:rsid w:val="00C15054"/>
    <w:rsid w:val="00C51EF8"/>
    <w:rsid w:val="00C80A79"/>
    <w:rsid w:val="00C83F1C"/>
    <w:rsid w:val="00CA74CA"/>
    <w:rsid w:val="00CA77D7"/>
    <w:rsid w:val="00CB0661"/>
    <w:rsid w:val="00CB4AFA"/>
    <w:rsid w:val="00CB5F69"/>
    <w:rsid w:val="00CC7011"/>
    <w:rsid w:val="00CE607E"/>
    <w:rsid w:val="00D05C0F"/>
    <w:rsid w:val="00D3758D"/>
    <w:rsid w:val="00D4666B"/>
    <w:rsid w:val="00D625E4"/>
    <w:rsid w:val="00D84E2F"/>
    <w:rsid w:val="00D97F76"/>
    <w:rsid w:val="00DA5920"/>
    <w:rsid w:val="00DD4459"/>
    <w:rsid w:val="00DE01DC"/>
    <w:rsid w:val="00DE1418"/>
    <w:rsid w:val="00DF18DA"/>
    <w:rsid w:val="00DF7ABC"/>
    <w:rsid w:val="00E24C2C"/>
    <w:rsid w:val="00E53468"/>
    <w:rsid w:val="00E534E0"/>
    <w:rsid w:val="00E569F3"/>
    <w:rsid w:val="00E618CB"/>
    <w:rsid w:val="00E94206"/>
    <w:rsid w:val="00EA2577"/>
    <w:rsid w:val="00EB3906"/>
    <w:rsid w:val="00EE4E73"/>
    <w:rsid w:val="00F10DB7"/>
    <w:rsid w:val="00F17C1E"/>
    <w:rsid w:val="00F43E94"/>
    <w:rsid w:val="00F55E63"/>
    <w:rsid w:val="00F647BD"/>
    <w:rsid w:val="00F77A9B"/>
    <w:rsid w:val="00F86416"/>
    <w:rsid w:val="00FD6875"/>
    <w:rsid w:val="00FE2330"/>
    <w:rsid w:val="00FE560D"/>
    <w:rsid w:val="00FF0AE9"/>
    <w:rsid w:val="01463EF1"/>
    <w:rsid w:val="016E2A7F"/>
    <w:rsid w:val="02876776"/>
    <w:rsid w:val="02C53AAF"/>
    <w:rsid w:val="02E336E6"/>
    <w:rsid w:val="03074E87"/>
    <w:rsid w:val="0449758D"/>
    <w:rsid w:val="04650149"/>
    <w:rsid w:val="04DF7CDC"/>
    <w:rsid w:val="05C60E53"/>
    <w:rsid w:val="06187C8D"/>
    <w:rsid w:val="062065EC"/>
    <w:rsid w:val="064E4FA7"/>
    <w:rsid w:val="06A9177A"/>
    <w:rsid w:val="07246782"/>
    <w:rsid w:val="07500207"/>
    <w:rsid w:val="075C280D"/>
    <w:rsid w:val="07CD7D59"/>
    <w:rsid w:val="08492F10"/>
    <w:rsid w:val="087B6DE6"/>
    <w:rsid w:val="08921533"/>
    <w:rsid w:val="0896666F"/>
    <w:rsid w:val="09426D42"/>
    <w:rsid w:val="09752F01"/>
    <w:rsid w:val="09F77400"/>
    <w:rsid w:val="0A1D2B98"/>
    <w:rsid w:val="0A2D7613"/>
    <w:rsid w:val="0A6E347F"/>
    <w:rsid w:val="0BB25B94"/>
    <w:rsid w:val="0C2D30DA"/>
    <w:rsid w:val="0CC55993"/>
    <w:rsid w:val="0CD30BDE"/>
    <w:rsid w:val="0D6021D9"/>
    <w:rsid w:val="0E0C211A"/>
    <w:rsid w:val="0E2A0C7E"/>
    <w:rsid w:val="0E2E4849"/>
    <w:rsid w:val="0E2E6695"/>
    <w:rsid w:val="0EF415E6"/>
    <w:rsid w:val="100D3B5E"/>
    <w:rsid w:val="103B1CEF"/>
    <w:rsid w:val="107E5FE4"/>
    <w:rsid w:val="10C77E3C"/>
    <w:rsid w:val="10CD1E1D"/>
    <w:rsid w:val="10D26327"/>
    <w:rsid w:val="11132EE5"/>
    <w:rsid w:val="117F4CD1"/>
    <w:rsid w:val="11C449B6"/>
    <w:rsid w:val="121B53C5"/>
    <w:rsid w:val="125675E9"/>
    <w:rsid w:val="138A0266"/>
    <w:rsid w:val="13DF0B38"/>
    <w:rsid w:val="13EB3519"/>
    <w:rsid w:val="14456019"/>
    <w:rsid w:val="145A45EF"/>
    <w:rsid w:val="14CB6FCF"/>
    <w:rsid w:val="150E4D7B"/>
    <w:rsid w:val="155512B3"/>
    <w:rsid w:val="156031F6"/>
    <w:rsid w:val="158568FB"/>
    <w:rsid w:val="159B0DBE"/>
    <w:rsid w:val="16503A7A"/>
    <w:rsid w:val="166A3F21"/>
    <w:rsid w:val="17A61F7D"/>
    <w:rsid w:val="17BB68B2"/>
    <w:rsid w:val="17BE0022"/>
    <w:rsid w:val="17EA4F97"/>
    <w:rsid w:val="17F223AD"/>
    <w:rsid w:val="18461DB2"/>
    <w:rsid w:val="187A0AD5"/>
    <w:rsid w:val="18F84904"/>
    <w:rsid w:val="19104E63"/>
    <w:rsid w:val="193B57C0"/>
    <w:rsid w:val="19B73F85"/>
    <w:rsid w:val="1AA43811"/>
    <w:rsid w:val="1AB143AA"/>
    <w:rsid w:val="1B35627C"/>
    <w:rsid w:val="1BD417C5"/>
    <w:rsid w:val="1CB518A5"/>
    <w:rsid w:val="1D002FEC"/>
    <w:rsid w:val="1D3418F9"/>
    <w:rsid w:val="1D415EAA"/>
    <w:rsid w:val="1E602BCB"/>
    <w:rsid w:val="1F152A95"/>
    <w:rsid w:val="1F641B0F"/>
    <w:rsid w:val="20F1662F"/>
    <w:rsid w:val="216D7D3C"/>
    <w:rsid w:val="21A55124"/>
    <w:rsid w:val="21D0768F"/>
    <w:rsid w:val="21E52AA7"/>
    <w:rsid w:val="21E713B5"/>
    <w:rsid w:val="232052EA"/>
    <w:rsid w:val="232C38FC"/>
    <w:rsid w:val="235B6CA1"/>
    <w:rsid w:val="24004D8E"/>
    <w:rsid w:val="2495508C"/>
    <w:rsid w:val="249A224E"/>
    <w:rsid w:val="25592B49"/>
    <w:rsid w:val="25890A2A"/>
    <w:rsid w:val="25BE1333"/>
    <w:rsid w:val="260B1896"/>
    <w:rsid w:val="26683AFD"/>
    <w:rsid w:val="2671641F"/>
    <w:rsid w:val="267947AD"/>
    <w:rsid w:val="26AB74FD"/>
    <w:rsid w:val="276553E4"/>
    <w:rsid w:val="27C62662"/>
    <w:rsid w:val="27DF4B37"/>
    <w:rsid w:val="28CF1F8D"/>
    <w:rsid w:val="29315346"/>
    <w:rsid w:val="29596032"/>
    <w:rsid w:val="29B05A24"/>
    <w:rsid w:val="29EF0FD2"/>
    <w:rsid w:val="2A4B4090"/>
    <w:rsid w:val="2A5D32DD"/>
    <w:rsid w:val="2A971462"/>
    <w:rsid w:val="2AFB0544"/>
    <w:rsid w:val="2B1E0EF3"/>
    <w:rsid w:val="2B1E660F"/>
    <w:rsid w:val="2B4C38A9"/>
    <w:rsid w:val="2BBB435B"/>
    <w:rsid w:val="2C16267E"/>
    <w:rsid w:val="2C9049DE"/>
    <w:rsid w:val="2D6066AC"/>
    <w:rsid w:val="2E4331BE"/>
    <w:rsid w:val="2EDE1C71"/>
    <w:rsid w:val="2F5271A7"/>
    <w:rsid w:val="2FC2126D"/>
    <w:rsid w:val="2FE26873"/>
    <w:rsid w:val="3021705E"/>
    <w:rsid w:val="302D153E"/>
    <w:rsid w:val="311414DD"/>
    <w:rsid w:val="31584ED2"/>
    <w:rsid w:val="319B13D9"/>
    <w:rsid w:val="31AB5940"/>
    <w:rsid w:val="31C1513E"/>
    <w:rsid w:val="322A6129"/>
    <w:rsid w:val="32A91D77"/>
    <w:rsid w:val="32D76A62"/>
    <w:rsid w:val="331F0EA3"/>
    <w:rsid w:val="33F40AAF"/>
    <w:rsid w:val="34B06466"/>
    <w:rsid w:val="34DB0272"/>
    <w:rsid w:val="35191F67"/>
    <w:rsid w:val="360C0E62"/>
    <w:rsid w:val="361127D1"/>
    <w:rsid w:val="364E1848"/>
    <w:rsid w:val="365E323D"/>
    <w:rsid w:val="373F11B0"/>
    <w:rsid w:val="37DE66D2"/>
    <w:rsid w:val="38184EDE"/>
    <w:rsid w:val="3858329B"/>
    <w:rsid w:val="387A39BB"/>
    <w:rsid w:val="38B75245"/>
    <w:rsid w:val="38E958B3"/>
    <w:rsid w:val="39B040DE"/>
    <w:rsid w:val="39CD422D"/>
    <w:rsid w:val="3A030479"/>
    <w:rsid w:val="3AC52BC2"/>
    <w:rsid w:val="3AD1108C"/>
    <w:rsid w:val="3B235F26"/>
    <w:rsid w:val="3B39238D"/>
    <w:rsid w:val="3BC26F34"/>
    <w:rsid w:val="3BE10CFA"/>
    <w:rsid w:val="3C3144B3"/>
    <w:rsid w:val="3CC8786E"/>
    <w:rsid w:val="3E0E3379"/>
    <w:rsid w:val="3E1078BE"/>
    <w:rsid w:val="3FFE1D65"/>
    <w:rsid w:val="40C27220"/>
    <w:rsid w:val="40DE6E7A"/>
    <w:rsid w:val="4154442C"/>
    <w:rsid w:val="41EB4205"/>
    <w:rsid w:val="42274788"/>
    <w:rsid w:val="42E60709"/>
    <w:rsid w:val="433D23E8"/>
    <w:rsid w:val="439003EE"/>
    <w:rsid w:val="445A3941"/>
    <w:rsid w:val="44697430"/>
    <w:rsid w:val="45A114B2"/>
    <w:rsid w:val="468546C6"/>
    <w:rsid w:val="47125F6E"/>
    <w:rsid w:val="476A1528"/>
    <w:rsid w:val="48343A26"/>
    <w:rsid w:val="483E1B9E"/>
    <w:rsid w:val="484F15DA"/>
    <w:rsid w:val="49381C5C"/>
    <w:rsid w:val="49AE3673"/>
    <w:rsid w:val="49FC2949"/>
    <w:rsid w:val="4A0F3F32"/>
    <w:rsid w:val="4A336188"/>
    <w:rsid w:val="4A491736"/>
    <w:rsid w:val="4B743F6F"/>
    <w:rsid w:val="4BE50475"/>
    <w:rsid w:val="4BF3676D"/>
    <w:rsid w:val="4C7558EF"/>
    <w:rsid w:val="4D2948E8"/>
    <w:rsid w:val="4D341F3A"/>
    <w:rsid w:val="4DAA1032"/>
    <w:rsid w:val="4EF22E55"/>
    <w:rsid w:val="4F1F1A60"/>
    <w:rsid w:val="4FB81957"/>
    <w:rsid w:val="50C45EE0"/>
    <w:rsid w:val="5184324A"/>
    <w:rsid w:val="519A31F0"/>
    <w:rsid w:val="52465EAE"/>
    <w:rsid w:val="52473C74"/>
    <w:rsid w:val="52A651AB"/>
    <w:rsid w:val="530502CE"/>
    <w:rsid w:val="535617B2"/>
    <w:rsid w:val="53A10E0D"/>
    <w:rsid w:val="53A2307C"/>
    <w:rsid w:val="546D60A0"/>
    <w:rsid w:val="546E04CC"/>
    <w:rsid w:val="55265D38"/>
    <w:rsid w:val="5652005C"/>
    <w:rsid w:val="56AD7DF3"/>
    <w:rsid w:val="5793060B"/>
    <w:rsid w:val="58AE5365"/>
    <w:rsid w:val="58B66A93"/>
    <w:rsid w:val="58F12D10"/>
    <w:rsid w:val="59141F46"/>
    <w:rsid w:val="5924798E"/>
    <w:rsid w:val="5A0F2607"/>
    <w:rsid w:val="5A351A32"/>
    <w:rsid w:val="5C224533"/>
    <w:rsid w:val="5C6A0DAE"/>
    <w:rsid w:val="5C6E4C1C"/>
    <w:rsid w:val="5D96211E"/>
    <w:rsid w:val="5DF752FA"/>
    <w:rsid w:val="5E365DBE"/>
    <w:rsid w:val="5F2E1FB7"/>
    <w:rsid w:val="5F38370A"/>
    <w:rsid w:val="607F3988"/>
    <w:rsid w:val="61257471"/>
    <w:rsid w:val="615C578E"/>
    <w:rsid w:val="619D2365"/>
    <w:rsid w:val="61CA15E4"/>
    <w:rsid w:val="62AE0E13"/>
    <w:rsid w:val="62B02923"/>
    <w:rsid w:val="6335285C"/>
    <w:rsid w:val="63BF6A79"/>
    <w:rsid w:val="641A1124"/>
    <w:rsid w:val="6437077B"/>
    <w:rsid w:val="645C33B7"/>
    <w:rsid w:val="651326EB"/>
    <w:rsid w:val="65770BE8"/>
    <w:rsid w:val="65961617"/>
    <w:rsid w:val="67AC562E"/>
    <w:rsid w:val="682B75AE"/>
    <w:rsid w:val="69BB183E"/>
    <w:rsid w:val="69C72A7A"/>
    <w:rsid w:val="69E955BE"/>
    <w:rsid w:val="6B090D52"/>
    <w:rsid w:val="6B411CEB"/>
    <w:rsid w:val="6B612F83"/>
    <w:rsid w:val="6CAE5154"/>
    <w:rsid w:val="6DB7539D"/>
    <w:rsid w:val="6E3B0192"/>
    <w:rsid w:val="6E862328"/>
    <w:rsid w:val="7062530C"/>
    <w:rsid w:val="711D6A0E"/>
    <w:rsid w:val="71913134"/>
    <w:rsid w:val="71D7261D"/>
    <w:rsid w:val="71E44C6A"/>
    <w:rsid w:val="72534572"/>
    <w:rsid w:val="726915EC"/>
    <w:rsid w:val="729A355C"/>
    <w:rsid w:val="72D94035"/>
    <w:rsid w:val="73113D1E"/>
    <w:rsid w:val="734B3F35"/>
    <w:rsid w:val="7361583D"/>
    <w:rsid w:val="73BA2BC8"/>
    <w:rsid w:val="73F7F667"/>
    <w:rsid w:val="74DC41DD"/>
    <w:rsid w:val="75305C1A"/>
    <w:rsid w:val="75B846D9"/>
    <w:rsid w:val="76C0645D"/>
    <w:rsid w:val="770579FA"/>
    <w:rsid w:val="77545077"/>
    <w:rsid w:val="7884323A"/>
    <w:rsid w:val="78B335F9"/>
    <w:rsid w:val="79420C91"/>
    <w:rsid w:val="79621379"/>
    <w:rsid w:val="7A57124A"/>
    <w:rsid w:val="7AA81F42"/>
    <w:rsid w:val="7AED4571"/>
    <w:rsid w:val="7B3B4375"/>
    <w:rsid w:val="7CD727EF"/>
    <w:rsid w:val="7D2A75E5"/>
    <w:rsid w:val="7DA61101"/>
    <w:rsid w:val="7DD20BB5"/>
    <w:rsid w:val="7E751B09"/>
    <w:rsid w:val="7E9F52E6"/>
    <w:rsid w:val="7F9F22BF"/>
    <w:rsid w:val="7FCC611E"/>
    <w:rsid w:val="97D2DD19"/>
    <w:rsid w:val="BCFE35D9"/>
    <w:rsid w:val="D59B93AE"/>
    <w:rsid w:val="E7FF5367"/>
    <w:rsid w:val="F1FF3661"/>
    <w:rsid w:val="FBBDB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numPr>
        <w:ilvl w:val="0"/>
        <w:numId w:val="1"/>
      </w:numPr>
      <w:spacing w:before="480" w:line="360" w:lineRule="auto"/>
      <w:ind w:firstLine="0"/>
      <w:outlineLvl w:val="0"/>
    </w:pPr>
    <w:rPr>
      <w:rFonts w:ascii="Cambria" w:hAnsi="Cambria" w:eastAsia="楷体_GB2312" w:cstheme="majorBidi"/>
      <w:b/>
      <w:bCs/>
      <w:color w:val="365F91"/>
      <w:sz w:val="28"/>
      <w:szCs w:val="28"/>
    </w:rPr>
  </w:style>
  <w:style w:type="paragraph" w:styleId="3">
    <w:name w:val="heading 2"/>
    <w:basedOn w:val="1"/>
    <w:next w:val="1"/>
    <w:link w:val="23"/>
    <w:unhideWhenUsed/>
    <w:qFormat/>
    <w:uiPriority w:val="0"/>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4"/>
    <w:unhideWhenUsed/>
    <w:qFormat/>
    <w:uiPriority w:val="9"/>
    <w:pPr>
      <w:keepNext/>
      <w:keepLines/>
      <w:numPr>
        <w:ilvl w:val="2"/>
        <w:numId w:val="1"/>
      </w:numPr>
      <w:spacing w:before="260" w:after="260" w:line="416" w:lineRule="auto"/>
      <w:ind w:firstLine="400"/>
      <w:outlineLvl w:val="2"/>
    </w:pPr>
    <w:rPr>
      <w:b/>
      <w:bCs/>
      <w:sz w:val="32"/>
      <w:szCs w:val="32"/>
    </w:rPr>
  </w:style>
  <w:style w:type="paragraph" w:styleId="5">
    <w:name w:val="heading 4"/>
    <w:basedOn w:val="1"/>
    <w:next w:val="1"/>
    <w:unhideWhenUsed/>
    <w:qFormat/>
    <w:uiPriority w:val="9"/>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6">
    <w:name w:val="heading 5"/>
    <w:basedOn w:val="1"/>
    <w:next w:val="1"/>
    <w:semiHidden/>
    <w:unhideWhenUsed/>
    <w:qFormat/>
    <w:uiPriority w:val="9"/>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semiHidden/>
    <w:unhideWhenUsed/>
    <w:qFormat/>
    <w:uiPriority w:val="9"/>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9"/>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29"/>
    <w:semiHidden/>
    <w:unhideWhenUsed/>
    <w:qFormat/>
    <w:uiPriority w:val="99"/>
    <w:rPr>
      <w:rFonts w:ascii="宋体" w:eastAsia="宋体"/>
      <w:sz w:val="18"/>
      <w:szCs w:val="18"/>
    </w:rPr>
  </w:style>
  <w:style w:type="paragraph" w:styleId="12">
    <w:name w:val="annotation text"/>
    <w:basedOn w:val="1"/>
    <w:link w:val="26"/>
    <w:semiHidden/>
    <w:unhideWhenUsed/>
    <w:qFormat/>
    <w:uiPriority w:val="99"/>
    <w:pPr>
      <w:jc w:val="left"/>
    </w:pPr>
  </w:style>
  <w:style w:type="paragraph" w:styleId="13">
    <w:name w:val="Balloon Text"/>
    <w:basedOn w:val="1"/>
    <w:link w:val="28"/>
    <w:semiHidden/>
    <w:unhideWhenUsed/>
    <w:qFormat/>
    <w:uiPriority w:val="99"/>
    <w:rPr>
      <w:sz w:val="18"/>
      <w:szCs w:val="18"/>
    </w:rPr>
  </w:style>
  <w:style w:type="paragraph" w:styleId="14">
    <w:name w:val="footer"/>
    <w:basedOn w:val="1"/>
    <w:link w:val="21"/>
    <w:unhideWhenUsed/>
    <w:qFormat/>
    <w:uiPriority w:val="99"/>
    <w:pPr>
      <w:tabs>
        <w:tab w:val="center" w:pos="4153"/>
        <w:tab w:val="right" w:pos="8306"/>
      </w:tabs>
      <w:snapToGrid w:val="0"/>
      <w:jc w:val="left"/>
    </w:pPr>
    <w:rPr>
      <w:sz w:val="18"/>
      <w:szCs w:val="18"/>
    </w:rPr>
  </w:style>
  <w:style w:type="paragraph" w:styleId="15">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annotation subject"/>
    <w:basedOn w:val="12"/>
    <w:next w:val="12"/>
    <w:link w:val="27"/>
    <w:semiHidden/>
    <w:unhideWhenUsed/>
    <w:qFormat/>
    <w:uiPriority w:val="99"/>
    <w:rPr>
      <w:b/>
      <w:bCs/>
    </w:rPr>
  </w:style>
  <w:style w:type="character" w:styleId="19">
    <w:name w:val="annotation reference"/>
    <w:basedOn w:val="18"/>
    <w:semiHidden/>
    <w:unhideWhenUsed/>
    <w:qFormat/>
    <w:uiPriority w:val="99"/>
    <w:rPr>
      <w:sz w:val="21"/>
      <w:szCs w:val="21"/>
    </w:rPr>
  </w:style>
  <w:style w:type="character" w:customStyle="1" w:styleId="20">
    <w:name w:val="页眉 Char"/>
    <w:basedOn w:val="18"/>
    <w:link w:val="15"/>
    <w:qFormat/>
    <w:uiPriority w:val="99"/>
    <w:rPr>
      <w:sz w:val="18"/>
      <w:szCs w:val="18"/>
    </w:rPr>
  </w:style>
  <w:style w:type="character" w:customStyle="1" w:styleId="21">
    <w:name w:val="页脚 Char"/>
    <w:basedOn w:val="18"/>
    <w:link w:val="14"/>
    <w:qFormat/>
    <w:uiPriority w:val="99"/>
    <w:rPr>
      <w:sz w:val="18"/>
      <w:szCs w:val="18"/>
    </w:rPr>
  </w:style>
  <w:style w:type="character" w:customStyle="1" w:styleId="22">
    <w:name w:val="标题 1 Char"/>
    <w:basedOn w:val="18"/>
    <w:link w:val="2"/>
    <w:qFormat/>
    <w:uiPriority w:val="9"/>
    <w:rPr>
      <w:rFonts w:ascii="Cambria" w:hAnsi="Cambria" w:eastAsia="楷体_GB2312" w:cstheme="majorBidi"/>
      <w:b/>
      <w:bCs/>
      <w:color w:val="365F91"/>
      <w:sz w:val="28"/>
      <w:szCs w:val="28"/>
    </w:rPr>
  </w:style>
  <w:style w:type="character" w:customStyle="1" w:styleId="23">
    <w:name w:val="标题 2 Char"/>
    <w:basedOn w:val="18"/>
    <w:link w:val="3"/>
    <w:qFormat/>
    <w:uiPriority w:val="0"/>
    <w:rPr>
      <w:rFonts w:asciiTheme="majorHAnsi" w:hAnsiTheme="majorHAnsi" w:eastAsiaTheme="majorEastAsia" w:cstheme="majorBidi"/>
      <w:b/>
      <w:bCs/>
      <w:sz w:val="32"/>
      <w:szCs w:val="32"/>
    </w:rPr>
  </w:style>
  <w:style w:type="character" w:customStyle="1" w:styleId="24">
    <w:name w:val="标题 3 Char"/>
    <w:basedOn w:val="18"/>
    <w:link w:val="4"/>
    <w:qFormat/>
    <w:uiPriority w:val="9"/>
    <w:rPr>
      <w:b/>
      <w:bCs/>
      <w:sz w:val="32"/>
      <w:szCs w:val="32"/>
    </w:rPr>
  </w:style>
  <w:style w:type="paragraph" w:styleId="25">
    <w:name w:val="List Paragraph"/>
    <w:basedOn w:val="1"/>
    <w:qFormat/>
    <w:uiPriority w:val="34"/>
    <w:pPr>
      <w:ind w:firstLine="420" w:firstLineChars="200"/>
    </w:pPr>
  </w:style>
  <w:style w:type="character" w:customStyle="1" w:styleId="26">
    <w:name w:val="批注文字 Char"/>
    <w:basedOn w:val="18"/>
    <w:link w:val="12"/>
    <w:semiHidden/>
    <w:qFormat/>
    <w:uiPriority w:val="99"/>
  </w:style>
  <w:style w:type="character" w:customStyle="1" w:styleId="27">
    <w:name w:val="批注主题 Char"/>
    <w:basedOn w:val="26"/>
    <w:link w:val="16"/>
    <w:semiHidden/>
    <w:qFormat/>
    <w:uiPriority w:val="99"/>
    <w:rPr>
      <w:b/>
      <w:bCs/>
    </w:rPr>
  </w:style>
  <w:style w:type="character" w:customStyle="1" w:styleId="28">
    <w:name w:val="批注框文本 Char"/>
    <w:basedOn w:val="18"/>
    <w:link w:val="13"/>
    <w:semiHidden/>
    <w:qFormat/>
    <w:uiPriority w:val="99"/>
    <w:rPr>
      <w:sz w:val="18"/>
      <w:szCs w:val="18"/>
    </w:rPr>
  </w:style>
  <w:style w:type="character" w:customStyle="1" w:styleId="29">
    <w:name w:val="文档结构图 Char"/>
    <w:basedOn w:val="18"/>
    <w:link w:val="11"/>
    <w:semiHidden/>
    <w:qFormat/>
    <w:uiPriority w:val="99"/>
    <w:rPr>
      <w:rFonts w:ascii="宋体" w:eastAsia="宋体"/>
      <w:sz w:val="18"/>
      <w:szCs w:val="18"/>
    </w:rPr>
  </w:style>
  <w:style w:type="paragraph" w:customStyle="1" w:styleId="30">
    <w:name w:val="SD&amp;C正文"/>
    <w:basedOn w:val="1"/>
    <w:qFormat/>
    <w:uiPriority w:val="0"/>
    <w:pPr>
      <w:spacing w:line="360" w:lineRule="exact"/>
      <w:ind w:firstLine="200" w:firstLineChars="200"/>
    </w:pPr>
    <w:rPr>
      <w:rFonts w:ascii="楷体_GB2312" w:hAnsi="Times New Roman" w:eastAsia="楷体_GB2312" w:cs="Times New Roman"/>
      <w:szCs w:val="20"/>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microsoft.com/office/2006/relationships/keyMapCustomizations" Target="customizations.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E03AF030-FA14-451E-9396-01FC53B7D38E}">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3</Pages>
  <Words>360</Words>
  <Characters>2052</Characters>
  <Lines>17</Lines>
  <Paragraphs>4</Paragraphs>
  <TotalTime>16</TotalTime>
  <ScaleCrop>false</ScaleCrop>
  <LinksUpToDate>false</LinksUpToDate>
  <CharactersWithSpaces>2408</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2017-10-10T23:58:00Z</dcterms:created>
  <dc:creator>CN=王轩/OU=基金业务部/OU=公司总部/O=ChinaClear</dc:creator>
  <cp:lastModifiedBy>王新博</cp:lastModifiedBy>
  <dcterms:modified xsi:type="dcterms:W3CDTF">2025-06-10T07:27:59Z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A546945A9F8644C994EC37316F8359E2_12</vt:lpwstr>
  </property>
</Properties>
</file>