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ajorEastAsia"/>
          <w:b/>
          <w:sz w:val="44"/>
          <w:szCs w:val="52"/>
        </w:rPr>
      </w:pPr>
      <w:r>
        <w:rPr>
          <w:rFonts w:hint="eastAsia" w:eastAsiaTheme="majorEastAsia"/>
          <w:b/>
          <w:sz w:val="44"/>
          <w:szCs w:val="52"/>
          <w:lang w:val="en-US" w:eastAsia="zh-CN"/>
        </w:rPr>
        <w:t xml:space="preserve"> </w:t>
      </w:r>
      <w:r>
        <w:rPr>
          <w:rFonts w:hint="eastAsia" w:eastAsiaTheme="majorEastAsia"/>
          <w:b/>
          <w:sz w:val="44"/>
          <w:szCs w:val="52"/>
          <w:lang w:eastAsia="zh-CN"/>
        </w:rPr>
        <w:t>中国结算基金</w:t>
      </w:r>
      <w:r>
        <w:rPr>
          <w:rFonts w:hint="eastAsia" w:eastAsiaTheme="majorEastAsia"/>
          <w:b/>
          <w:sz w:val="44"/>
          <w:szCs w:val="52"/>
        </w:rPr>
        <w:t>中央数据交换平台</w:t>
      </w:r>
    </w:p>
    <w:p>
      <w:pPr>
        <w:jc w:val="center"/>
        <w:rPr>
          <w:rFonts w:hint="eastAsia" w:eastAsiaTheme="majorEastAsia"/>
          <w:b/>
          <w:sz w:val="44"/>
          <w:szCs w:val="52"/>
        </w:rPr>
      </w:pPr>
      <w:r>
        <w:rPr>
          <w:rFonts w:hint="eastAsia" w:eastAsiaTheme="majorEastAsia"/>
          <w:b/>
          <w:sz w:val="44"/>
          <w:szCs w:val="52"/>
        </w:rPr>
        <w:t>《</w:t>
      </w:r>
      <w:r>
        <w:rPr>
          <w:rFonts w:hint="eastAsia" w:eastAsiaTheme="majorEastAsia"/>
          <w:b/>
          <w:sz w:val="44"/>
          <w:szCs w:val="52"/>
          <w:lang w:eastAsia="zh-CN"/>
        </w:rPr>
        <w:t>基金行业数据集中备份接口规范</w:t>
      </w:r>
      <w:r>
        <w:rPr>
          <w:rFonts w:hint="eastAsia" w:eastAsiaTheme="majorEastAsia"/>
          <w:b/>
          <w:sz w:val="44"/>
          <w:szCs w:val="52"/>
          <w:lang w:val="en-US" w:eastAsia="zh-CN"/>
        </w:rPr>
        <w:t>V2.2</w:t>
      </w:r>
      <w:r>
        <w:rPr>
          <w:rFonts w:hint="eastAsia" w:eastAsiaTheme="majorEastAsia"/>
          <w:b/>
          <w:sz w:val="44"/>
          <w:szCs w:val="52"/>
        </w:rPr>
        <w:t>》</w:t>
      </w:r>
    </w:p>
    <w:p>
      <w:pPr>
        <w:jc w:val="center"/>
        <w:rPr>
          <w:rFonts w:eastAsiaTheme="majorEastAsia"/>
          <w:b/>
          <w:sz w:val="44"/>
          <w:szCs w:val="52"/>
        </w:rPr>
      </w:pPr>
      <w:r>
        <w:rPr>
          <w:rFonts w:hint="eastAsia" w:eastAsiaTheme="majorEastAsia"/>
          <w:b/>
          <w:sz w:val="44"/>
          <w:szCs w:val="52"/>
          <w:lang w:eastAsia="zh-CN"/>
        </w:rPr>
        <w:t>市场</w:t>
      </w:r>
      <w:r>
        <w:rPr>
          <w:rFonts w:hint="eastAsia" w:eastAsiaTheme="majorEastAsia"/>
          <w:b/>
          <w:sz w:val="44"/>
          <w:szCs w:val="52"/>
        </w:rPr>
        <w:t>测试方案</w:t>
      </w: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tabs>
          <w:tab w:val="left" w:pos="4200"/>
        </w:tabs>
        <w:jc w:val="center"/>
        <w:rPr>
          <w:b/>
          <w:sz w:val="30"/>
        </w:rPr>
      </w:pPr>
    </w:p>
    <w:p>
      <w:pPr>
        <w:jc w:val="center"/>
        <w:rPr>
          <w:rFonts w:hint="eastAsia"/>
          <w:b/>
          <w:sz w:val="32"/>
          <w:szCs w:val="30"/>
        </w:rPr>
      </w:pPr>
      <w:r>
        <w:rPr>
          <w:rFonts w:hint="eastAsia"/>
          <w:b/>
          <w:sz w:val="32"/>
          <w:szCs w:val="30"/>
        </w:rPr>
        <w:t>中国证券登记结算有限责任公司</w:t>
      </w:r>
    </w:p>
    <w:p>
      <w:pPr>
        <w:jc w:val="center"/>
        <w:rPr>
          <w:b/>
          <w:sz w:val="32"/>
          <w:szCs w:val="30"/>
        </w:rPr>
      </w:pPr>
      <w:r>
        <w:rPr>
          <w:rFonts w:hint="eastAsia"/>
          <w:b/>
          <w:sz w:val="32"/>
          <w:szCs w:val="30"/>
        </w:rPr>
        <w:t>二○二</w:t>
      </w:r>
      <w:r>
        <w:rPr>
          <w:rFonts w:hint="eastAsia"/>
          <w:b/>
          <w:sz w:val="32"/>
          <w:szCs w:val="30"/>
          <w:lang w:eastAsia="zh-CN"/>
        </w:rPr>
        <w:t>四</w:t>
      </w:r>
      <w:r>
        <w:rPr>
          <w:rFonts w:hint="eastAsia"/>
          <w:b/>
          <w:sz w:val="32"/>
          <w:szCs w:val="30"/>
        </w:rPr>
        <w:t>年</w:t>
      </w:r>
      <w:r>
        <w:rPr>
          <w:rFonts w:hint="eastAsia"/>
          <w:b/>
          <w:sz w:val="32"/>
          <w:szCs w:val="30"/>
          <w:lang w:eastAsia="zh-CN"/>
        </w:rPr>
        <w:t>三</w:t>
      </w:r>
      <w:r>
        <w:rPr>
          <w:rFonts w:hint="eastAsia"/>
          <w:b/>
          <w:sz w:val="32"/>
          <w:szCs w:val="30"/>
        </w:rPr>
        <w:t>月</w:t>
      </w: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  <w:sectPr>
          <w:headerReference r:id="rId3" w:type="default"/>
          <w:type w:val="oddPage"/>
          <w:pgSz w:w="11907" w:h="16840"/>
          <w:pgMar w:top="2098" w:right="1474" w:bottom="1984" w:left="1587" w:header="851" w:footer="85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sz w:val="32"/>
        </w:rPr>
      </w:pPr>
    </w:p>
    <w:p>
      <w:pPr>
        <w:spacing w:line="560" w:lineRule="exact"/>
        <w:jc w:val="center"/>
        <w:rPr>
          <w:b/>
          <w:sz w:val="52"/>
        </w:rPr>
      </w:pPr>
      <w:r>
        <w:rPr>
          <w:rFonts w:hint="eastAsia"/>
          <w:b/>
          <w:sz w:val="52"/>
        </w:rPr>
        <w:t>目   录</w:t>
      </w:r>
    </w:p>
    <w:p>
      <w:pPr>
        <w:spacing w:line="560" w:lineRule="exact"/>
        <w:jc w:val="center"/>
        <w:rPr>
          <w:sz w:val="32"/>
        </w:rPr>
      </w:pP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_Toc21211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一、</w:t>
      </w:r>
      <w:r>
        <w:rPr>
          <w:rFonts w:hint="eastAsia" w:eastAsia="黑体"/>
          <w:bCs w:val="0"/>
          <w:szCs w:val="32"/>
        </w:rPr>
        <w:t>测试目的</w:t>
      </w:r>
      <w:r>
        <w:tab/>
      </w:r>
      <w:r>
        <w:fldChar w:fldCharType="begin"/>
      </w:r>
      <w:r>
        <w:instrText xml:space="preserve"> PAGEREF _Toc21211 \h </w:instrText>
      </w:r>
      <w:r>
        <w:fldChar w:fldCharType="separate"/>
      </w:r>
      <w:r>
        <w:t>- 3 -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_Toc27330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二、参测单位</w:t>
      </w:r>
      <w:r>
        <w:tab/>
      </w:r>
      <w:r>
        <w:fldChar w:fldCharType="begin"/>
      </w:r>
      <w:r>
        <w:instrText xml:space="preserve"> PAGEREF _Toc27330 \h </w:instrText>
      </w:r>
      <w:r>
        <w:fldChar w:fldCharType="separate"/>
      </w:r>
      <w:r>
        <w:t>- 3 -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_Toc19819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三、参考资料</w:t>
      </w:r>
      <w:r>
        <w:tab/>
      </w:r>
      <w:r>
        <w:fldChar w:fldCharType="begin"/>
      </w:r>
      <w:r>
        <w:instrText xml:space="preserve"> PAGEREF _Toc19819 \h </w:instrText>
      </w:r>
      <w:r>
        <w:fldChar w:fldCharType="separate"/>
      </w:r>
      <w:r>
        <w:t>- 3 -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_Toc11780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四、 测试安排</w:t>
      </w:r>
      <w:r>
        <w:tab/>
      </w:r>
      <w:r>
        <w:fldChar w:fldCharType="begin"/>
      </w:r>
      <w:r>
        <w:instrText xml:space="preserve"> PAGEREF _Toc11780 \h </w:instrText>
      </w:r>
      <w:r>
        <w:fldChar w:fldCharType="separate"/>
      </w:r>
      <w:r>
        <w:t>- 3 -</w:t>
      </w:r>
      <w:r>
        <w:fldChar w:fldCharType="end"/>
      </w:r>
      <w:r>
        <w:fldChar w:fldCharType="end"/>
      </w:r>
    </w:p>
    <w:p>
      <w:pPr>
        <w:pStyle w:val="30"/>
        <w:tabs>
          <w:tab w:val="right" w:leader="dot" w:pos="8846"/>
        </w:tabs>
      </w:pPr>
      <w:r>
        <w:fldChar w:fldCharType="begin"/>
      </w:r>
      <w:r>
        <w:instrText xml:space="preserve"> HYPERLINK \l _Toc7019 </w:instrText>
      </w:r>
      <w:r>
        <w:fldChar w:fldCharType="separate"/>
      </w:r>
      <w:r>
        <w:rPr>
          <w:rFonts w:hint="eastAsia" w:eastAsia="楷体"/>
          <w:lang w:eastAsia="zh-CN"/>
        </w:rPr>
        <w:t>（一）测试环</w:t>
      </w:r>
      <w:r>
        <w:rPr>
          <w:rFonts w:hint="eastAsia" w:eastAsia="楷体"/>
          <w:highlight w:val="none"/>
          <w:lang w:eastAsia="zh-CN"/>
        </w:rPr>
        <w:t>境</w:t>
      </w:r>
      <w:r>
        <w:tab/>
      </w:r>
      <w:r>
        <w:fldChar w:fldCharType="begin"/>
      </w:r>
      <w:r>
        <w:instrText xml:space="preserve"> PAGEREF _Toc7019 \h </w:instrText>
      </w:r>
      <w:r>
        <w:fldChar w:fldCharType="separate"/>
      </w:r>
      <w:r>
        <w:t>- 4 -</w:t>
      </w:r>
      <w:r>
        <w:fldChar w:fldCharType="end"/>
      </w:r>
      <w:r>
        <w:fldChar w:fldCharType="end"/>
      </w:r>
    </w:p>
    <w:p>
      <w:pPr>
        <w:pStyle w:val="30"/>
        <w:tabs>
          <w:tab w:val="right" w:leader="dot" w:pos="8846"/>
        </w:tabs>
      </w:pPr>
      <w:r>
        <w:fldChar w:fldCharType="begin"/>
      </w:r>
      <w:r>
        <w:instrText xml:space="preserve"> HYPERLINK \l _Toc27350 </w:instrText>
      </w:r>
      <w:r>
        <w:fldChar w:fldCharType="separate"/>
      </w:r>
      <w:r>
        <w:rPr>
          <w:rFonts w:hint="eastAsia" w:eastAsia="楷体"/>
          <w:lang w:eastAsia="zh-CN"/>
        </w:rPr>
        <w:t>（二）</w:t>
      </w:r>
      <w:r>
        <w:rPr>
          <w:rFonts w:hint="eastAsia" w:eastAsia="楷体"/>
        </w:rPr>
        <w:t>测试</w:t>
      </w:r>
      <w:r>
        <w:rPr>
          <w:rFonts w:hint="eastAsia" w:eastAsia="楷体"/>
          <w:lang w:eastAsia="zh-CN"/>
        </w:rPr>
        <w:t>内容</w:t>
      </w:r>
      <w:r>
        <w:tab/>
      </w:r>
      <w:r>
        <w:fldChar w:fldCharType="begin"/>
      </w:r>
      <w:r>
        <w:instrText xml:space="preserve"> PAGEREF _Toc27350 \h </w:instrText>
      </w:r>
      <w:r>
        <w:fldChar w:fldCharType="separate"/>
      </w:r>
      <w:r>
        <w:t>- 4 -</w:t>
      </w:r>
      <w:r>
        <w:fldChar w:fldCharType="end"/>
      </w:r>
      <w:r>
        <w:fldChar w:fldCharType="end"/>
      </w:r>
    </w:p>
    <w:p>
      <w:pPr>
        <w:pStyle w:val="30"/>
        <w:tabs>
          <w:tab w:val="right" w:leader="dot" w:pos="8846"/>
        </w:tabs>
      </w:pPr>
      <w:r>
        <w:fldChar w:fldCharType="begin"/>
      </w:r>
      <w:r>
        <w:instrText xml:space="preserve"> HYPERLINK \l _Toc9760 </w:instrText>
      </w:r>
      <w:r>
        <w:fldChar w:fldCharType="separate"/>
      </w:r>
      <w:r>
        <w:rPr>
          <w:rFonts w:hint="eastAsia" w:eastAsia="楷体"/>
          <w:lang w:eastAsia="zh-CN"/>
        </w:rPr>
        <w:t>（三）测试准备</w:t>
      </w:r>
      <w:r>
        <w:tab/>
      </w:r>
      <w:r>
        <w:fldChar w:fldCharType="begin"/>
      </w:r>
      <w:r>
        <w:instrText xml:space="preserve"> PAGEREF _Toc9760 \h </w:instrText>
      </w:r>
      <w:r>
        <w:fldChar w:fldCharType="separate"/>
      </w:r>
      <w:r>
        <w:t>- 4 -</w:t>
      </w:r>
      <w:r>
        <w:fldChar w:fldCharType="end"/>
      </w:r>
      <w:r>
        <w:fldChar w:fldCharType="end"/>
      </w:r>
    </w:p>
    <w:p>
      <w:pPr>
        <w:pStyle w:val="30"/>
        <w:tabs>
          <w:tab w:val="right" w:leader="dot" w:pos="8846"/>
        </w:tabs>
      </w:pPr>
      <w:r>
        <w:fldChar w:fldCharType="begin"/>
      </w:r>
      <w:r>
        <w:instrText xml:space="preserve"> HYPERLINK \l _Toc26190 </w:instrText>
      </w:r>
      <w:r>
        <w:fldChar w:fldCharType="separate"/>
      </w:r>
      <w:r>
        <w:rPr>
          <w:rFonts w:hint="eastAsia" w:eastAsia="楷体"/>
          <w:lang w:eastAsia="zh-CN"/>
        </w:rPr>
        <w:t>（四）测试周期</w:t>
      </w:r>
      <w:r>
        <w:tab/>
      </w:r>
      <w:r>
        <w:fldChar w:fldCharType="begin"/>
      </w:r>
      <w:r>
        <w:instrText xml:space="preserve"> PAGEREF _Toc26190 \h </w:instrText>
      </w:r>
      <w:r>
        <w:fldChar w:fldCharType="separate"/>
      </w:r>
      <w:r>
        <w:t>- 5 -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_Toc17297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五、注意事项</w:t>
      </w:r>
      <w:r>
        <w:tab/>
      </w:r>
      <w:r>
        <w:fldChar w:fldCharType="begin"/>
      </w:r>
      <w:r>
        <w:instrText xml:space="preserve"> PAGEREF _Toc17297 \h </w:instrText>
      </w:r>
      <w:r>
        <w:fldChar w:fldCharType="separate"/>
      </w:r>
      <w:r>
        <w:t>- 6 -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_Toc13974 </w:instrText>
      </w:r>
      <w:r>
        <w:fldChar w:fldCharType="separate"/>
      </w:r>
      <w:r>
        <w:rPr>
          <w:rFonts w:hint="eastAsia" w:eastAsia="黑体"/>
          <w:bCs w:val="0"/>
          <w:szCs w:val="32"/>
          <w:lang w:eastAsia="zh-CN"/>
        </w:rPr>
        <w:t>六、联系方式</w:t>
      </w:r>
      <w:r>
        <w:tab/>
      </w:r>
      <w:r>
        <w:fldChar w:fldCharType="begin"/>
      </w:r>
      <w:r>
        <w:instrText xml:space="preserve"> PAGEREF _Toc13974 \h </w:instrText>
      </w:r>
      <w:r>
        <w:fldChar w:fldCharType="separate"/>
      </w:r>
      <w:r>
        <w:t>- 7 -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_Toc20619 </w:instrText>
      </w:r>
      <w:r>
        <w:fldChar w:fldCharType="separate"/>
      </w:r>
      <w:r>
        <w:rPr>
          <w:rFonts w:hint="eastAsia" w:ascii="黑体" w:hAnsi="黑体" w:eastAsia="黑体" w:cs="黑体"/>
          <w:szCs w:val="32"/>
          <w:lang w:eastAsia="zh-CN"/>
        </w:rPr>
        <w:t>附</w:t>
      </w:r>
      <w:r>
        <w:rPr>
          <w:rFonts w:hint="eastAsia" w:ascii="黑体" w:hAnsi="黑体" w:eastAsia="黑体" w:cs="黑体"/>
          <w:szCs w:val="32"/>
        </w:rPr>
        <w:t>件1</w:t>
      </w:r>
      <w:r>
        <w:tab/>
      </w:r>
      <w:r>
        <w:fldChar w:fldCharType="begin"/>
      </w:r>
      <w:r>
        <w:instrText xml:space="preserve"> PAGEREF _Toc20619 \h </w:instrText>
      </w:r>
      <w:r>
        <w:fldChar w:fldCharType="separate"/>
      </w:r>
      <w:r>
        <w:t>- 8 -</w:t>
      </w:r>
      <w:r>
        <w:fldChar w:fldCharType="end"/>
      </w:r>
      <w:r>
        <w:fldChar w:fldCharType="end"/>
      </w:r>
    </w:p>
    <w:p>
      <w:pPr>
        <w:pStyle w:val="26"/>
        <w:tabs>
          <w:tab w:val="right" w:leader="dot" w:pos="8846"/>
        </w:tabs>
      </w:pPr>
      <w:r>
        <w:fldChar w:fldCharType="begin"/>
      </w:r>
      <w:r>
        <w:instrText xml:space="preserve"> HYPERLINK \l _Toc12109 </w:instrText>
      </w:r>
      <w:r>
        <w:fldChar w:fldCharType="separate"/>
      </w:r>
      <w:r>
        <w:rPr>
          <w:rFonts w:hint="eastAsia" w:ascii="黑体" w:hAnsi="黑体" w:eastAsia="黑体" w:cs="黑体"/>
          <w:szCs w:val="32"/>
          <w:lang w:eastAsia="zh-CN"/>
        </w:rPr>
        <w:t>附</w:t>
      </w:r>
      <w:r>
        <w:rPr>
          <w:rFonts w:hint="eastAsia" w:ascii="黑体" w:hAnsi="黑体" w:eastAsia="黑体" w:cs="黑体"/>
          <w:szCs w:val="32"/>
        </w:rPr>
        <w:t>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  <w:r>
        <w:tab/>
      </w:r>
      <w:r>
        <w:fldChar w:fldCharType="begin"/>
      </w:r>
      <w:r>
        <w:instrText xml:space="preserve"> PAGEREF _Toc12109 \h </w:instrText>
      </w:r>
      <w:r>
        <w:fldChar w:fldCharType="separate"/>
      </w:r>
      <w:r>
        <w:t>- 9 -</w:t>
      </w:r>
      <w:r>
        <w:fldChar w:fldCharType="end"/>
      </w:r>
      <w:r>
        <w:fldChar w:fldCharType="end"/>
      </w:r>
    </w:p>
    <w:p>
      <w:pPr>
        <w:spacing w:line="240" w:lineRule="atLeast"/>
      </w:pPr>
      <w:r>
        <w:fldChar w:fldCharType="end"/>
      </w:r>
    </w:p>
    <w:p>
      <w:pPr>
        <w:spacing w:line="480" w:lineRule="exact"/>
        <w:ind w:firstLine="480"/>
        <w:sectPr>
          <w:headerReference r:id="rId4" w:type="default"/>
          <w:footerReference r:id="rId5" w:type="default"/>
          <w:pgSz w:w="11907" w:h="16840"/>
          <w:pgMar w:top="2098" w:right="1474" w:bottom="1984" w:left="1587" w:header="851" w:footer="85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  <w:bookmarkStart w:id="0" w:name="_Toc234226894"/>
    </w:p>
    <w:p>
      <w:pPr>
        <w:pStyle w:val="2"/>
        <w:numPr>
          <w:ilvl w:val="0"/>
          <w:numId w:val="0"/>
        </w:numPr>
        <w:spacing w:before="240" w:after="0"/>
        <w:ind w:leftChars="0"/>
        <w:jc w:val="both"/>
        <w:rPr>
          <w:rFonts w:eastAsia="黑体"/>
          <w:b w:val="0"/>
          <w:bCs w:val="0"/>
          <w:sz w:val="32"/>
          <w:szCs w:val="32"/>
        </w:rPr>
      </w:pPr>
      <w:bookmarkStart w:id="1" w:name="_Toc21211"/>
      <w:r>
        <w:rPr>
          <w:rFonts w:hint="eastAsia" w:eastAsia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eastAsia="黑体"/>
          <w:b w:val="0"/>
          <w:bCs w:val="0"/>
          <w:sz w:val="32"/>
          <w:szCs w:val="32"/>
        </w:rPr>
        <w:t>测试目的</w:t>
      </w:r>
      <w:bookmarkEnd w:id="0"/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为</w:t>
      </w:r>
      <w:r>
        <w:rPr>
          <w:rFonts w:hint="eastAsia" w:cs="宋体"/>
          <w:kern w:val="0"/>
          <w:sz w:val="32"/>
          <w:szCs w:val="32"/>
          <w:lang w:eastAsia="zh-CN"/>
        </w:rPr>
        <w:t>配合</w:t>
      </w:r>
      <w:r>
        <w:rPr>
          <w:rFonts w:hint="eastAsia" w:ascii="Times New Roman" w:hAnsi="Times New Roman" w:cs="宋体"/>
          <w:kern w:val="0"/>
          <w:sz w:val="32"/>
          <w:szCs w:val="32"/>
        </w:rPr>
        <w:t>《基金行业数据集中备份接口规范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V2.2</w:t>
      </w:r>
      <w:r>
        <w:rPr>
          <w:rFonts w:hint="eastAsia" w:ascii="Times New Roman" w:hAnsi="Times New Roman" w:cs="宋体"/>
          <w:kern w:val="0"/>
          <w:sz w:val="32"/>
          <w:szCs w:val="32"/>
        </w:rPr>
        <w:t>》发布实施</w:t>
      </w:r>
      <w:r>
        <w:rPr>
          <w:rFonts w:hint="eastAsia" w:cs="宋体"/>
          <w:kern w:val="0"/>
          <w:sz w:val="32"/>
          <w:szCs w:val="32"/>
          <w:lang w:eastAsia="zh-CN"/>
        </w:rPr>
        <w:t>，确保</w:t>
      </w:r>
      <w:r>
        <w:rPr>
          <w:rFonts w:hint="eastAsia" w:ascii="Times New Roman" w:hAnsi="Times New Roman" w:cs="宋体"/>
          <w:kern w:val="0"/>
          <w:sz w:val="32"/>
          <w:szCs w:val="32"/>
        </w:rPr>
        <w:t>市场参与机构能够顺利升级</w:t>
      </w:r>
      <w:r>
        <w:rPr>
          <w:rFonts w:hint="eastAsia" w:cs="宋体"/>
          <w:kern w:val="0"/>
          <w:sz w:val="32"/>
          <w:szCs w:val="32"/>
          <w:lang w:eastAsia="zh-CN"/>
        </w:rPr>
        <w:t>至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新版</w:t>
      </w:r>
      <w:r>
        <w:rPr>
          <w:rFonts w:hint="eastAsia" w:ascii="Times New Roman" w:hAnsi="Times New Roman" w:cs="宋体"/>
          <w:kern w:val="0"/>
          <w:sz w:val="32"/>
          <w:szCs w:val="32"/>
        </w:rPr>
        <w:t>数据接口，中国结算基金中央数据交换平台（以下简称：中数平台）自</w:t>
      </w:r>
      <w:r>
        <w:rPr>
          <w:rFonts w:hint="eastAsia" w:cs="宋体"/>
          <w:kern w:val="0"/>
          <w:sz w:val="32"/>
          <w:szCs w:val="32"/>
          <w:lang w:eastAsia="zh-CN"/>
        </w:rPr>
        <w:t>此文档发布之日</w:t>
      </w:r>
      <w:r>
        <w:rPr>
          <w:rFonts w:hint="eastAsia" w:ascii="Times New Roman" w:hAnsi="Times New Roman" w:cs="宋体"/>
          <w:kern w:val="0"/>
          <w:sz w:val="32"/>
          <w:szCs w:val="32"/>
        </w:rPr>
        <w:t>起对市场参与机构提供</w:t>
      </w:r>
      <w:r>
        <w:rPr>
          <w:rFonts w:hint="eastAsia" w:cs="宋体"/>
          <w:kern w:val="0"/>
          <w:sz w:val="32"/>
          <w:szCs w:val="32"/>
          <w:lang w:eastAsia="zh-CN"/>
        </w:rPr>
        <w:t>市场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测试</w:t>
      </w:r>
      <w:r>
        <w:rPr>
          <w:rFonts w:hint="eastAsia" w:ascii="Times New Roman" w:hAnsi="Times New Roman" w:cs="宋体"/>
          <w:kern w:val="0"/>
          <w:sz w:val="32"/>
          <w:szCs w:val="32"/>
        </w:rPr>
        <w:t>环境，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用于</w:t>
      </w:r>
      <w:r>
        <w:rPr>
          <w:rFonts w:hint="eastAsia" w:cs="宋体"/>
          <w:kern w:val="0"/>
          <w:sz w:val="32"/>
          <w:szCs w:val="32"/>
          <w:lang w:eastAsia="zh-CN"/>
        </w:rPr>
        <w:t>中数平台</w:t>
      </w:r>
      <w:r>
        <w:rPr>
          <w:rFonts w:hint="eastAsia" w:ascii="Times New Roman" w:hAnsi="Times New Roman" w:cs="宋体"/>
          <w:kern w:val="0"/>
          <w:sz w:val="32"/>
          <w:szCs w:val="32"/>
        </w:rPr>
        <w:t>及各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市场参与机构在接口切换前的测试验证工作</w:t>
      </w:r>
      <w:r>
        <w:rPr>
          <w:rFonts w:hint="eastAsia" w:ascii="Times New Roman" w:hAnsi="Times New Roman" w:cs="宋体"/>
          <w:kern w:val="0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spacing w:before="240" w:after="0"/>
        <w:ind w:leftChars="0"/>
        <w:jc w:val="both"/>
        <w:rPr>
          <w:rFonts w:hint="eastAsia" w:eastAsia="黑体"/>
          <w:b w:val="0"/>
          <w:bCs w:val="0"/>
          <w:sz w:val="32"/>
          <w:szCs w:val="32"/>
          <w:lang w:eastAsia="zh-CN"/>
        </w:rPr>
      </w:pPr>
      <w:bookmarkStart w:id="2" w:name="_Toc27330"/>
      <w:bookmarkStart w:id="3" w:name="_Toc234226895"/>
      <w:r>
        <w:rPr>
          <w:rFonts w:hint="eastAsia" w:eastAsia="黑体"/>
          <w:b w:val="0"/>
          <w:bCs w:val="0"/>
          <w:sz w:val="32"/>
          <w:szCs w:val="32"/>
          <w:lang w:eastAsia="zh-CN"/>
        </w:rPr>
        <w:t>二、参测单位</w:t>
      </w:r>
      <w:bookmarkEnd w:id="2"/>
      <w:bookmarkEnd w:id="3"/>
      <w:r>
        <w:rPr>
          <w:rFonts w:hint="eastAsia" w:eastAsia="黑体"/>
          <w:b w:val="0"/>
          <w:bCs w:val="0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cs="宋体"/>
          <w:kern w:val="0"/>
          <w:sz w:val="32"/>
          <w:szCs w:val="32"/>
        </w:rPr>
        <w:t>中国结算总部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2. </w:t>
      </w:r>
      <w:r>
        <w:rPr>
          <w:rFonts w:hint="eastAsia" w:ascii="Times New Roman" w:hAnsi="Times New Roman" w:cs="宋体"/>
          <w:kern w:val="0"/>
          <w:sz w:val="32"/>
          <w:szCs w:val="32"/>
        </w:rPr>
        <w:t>公/私募基金份额登记机构</w:t>
      </w:r>
    </w:p>
    <w:p>
      <w:pPr>
        <w:pStyle w:val="2"/>
        <w:numPr>
          <w:ilvl w:val="0"/>
          <w:numId w:val="0"/>
        </w:numPr>
        <w:spacing w:before="240" w:after="0"/>
        <w:ind w:leftChars="0"/>
        <w:jc w:val="both"/>
        <w:rPr>
          <w:rFonts w:hint="eastAsia" w:eastAsia="黑体"/>
          <w:b w:val="0"/>
          <w:bCs w:val="0"/>
          <w:sz w:val="32"/>
          <w:szCs w:val="32"/>
          <w:lang w:eastAsia="zh-CN"/>
        </w:rPr>
      </w:pPr>
      <w:bookmarkStart w:id="4" w:name="_Toc19819"/>
      <w:r>
        <w:rPr>
          <w:rFonts w:hint="eastAsia" w:eastAsia="黑体"/>
          <w:b w:val="0"/>
          <w:bCs w:val="0"/>
          <w:sz w:val="32"/>
          <w:szCs w:val="32"/>
          <w:lang w:eastAsia="zh-CN"/>
        </w:rPr>
        <w:t>三、参考资料</w:t>
      </w:r>
      <w:bookmarkEnd w:id="4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《基金行业数据集中备份接口规范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V2.2</w:t>
      </w:r>
      <w:r>
        <w:rPr>
          <w:rFonts w:hint="eastAsia" w:ascii="Times New Roman" w:hAnsi="Times New Roman" w:cs="宋体"/>
          <w:kern w:val="0"/>
          <w:sz w:val="32"/>
          <w:szCs w:val="32"/>
        </w:rPr>
        <w:t>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《基金行业数据集中备份接口规范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V2.2版本</w:t>
      </w:r>
      <w:r>
        <w:rPr>
          <w:rFonts w:hint="eastAsia" w:ascii="Times New Roman" w:hAnsi="Times New Roman" w:cs="宋体"/>
          <w:kern w:val="0"/>
          <w:sz w:val="32"/>
          <w:szCs w:val="32"/>
        </w:rPr>
        <w:t>报送技术帮助文档》</w:t>
      </w:r>
    </w:p>
    <w:p>
      <w:pPr>
        <w:pStyle w:val="2"/>
        <w:numPr>
          <w:ilvl w:val="0"/>
          <w:numId w:val="2"/>
        </w:numPr>
        <w:spacing w:before="240" w:after="0"/>
        <w:ind w:leftChars="0"/>
        <w:jc w:val="both"/>
        <w:rPr>
          <w:rFonts w:hint="eastAsia" w:eastAsia="黑体"/>
          <w:b w:val="0"/>
          <w:bCs w:val="0"/>
          <w:sz w:val="32"/>
          <w:szCs w:val="32"/>
          <w:lang w:eastAsia="zh-CN"/>
        </w:rPr>
      </w:pPr>
      <w:bookmarkStart w:id="5" w:name="_Toc234226896"/>
      <w:bookmarkStart w:id="6" w:name="_Toc11780"/>
      <w:r>
        <w:rPr>
          <w:rFonts w:hint="eastAsia" w:eastAsia="黑体"/>
          <w:b w:val="0"/>
          <w:bCs w:val="0"/>
          <w:sz w:val="32"/>
          <w:szCs w:val="32"/>
          <w:lang w:eastAsia="zh-CN"/>
        </w:rPr>
        <w:t>测试</w:t>
      </w:r>
      <w:bookmarkEnd w:id="5"/>
      <w:bookmarkStart w:id="7" w:name="_Toc234226898"/>
      <w:r>
        <w:rPr>
          <w:rFonts w:hint="eastAsia" w:eastAsia="黑体"/>
          <w:b w:val="0"/>
          <w:bCs w:val="0"/>
          <w:sz w:val="32"/>
          <w:szCs w:val="32"/>
          <w:lang w:eastAsia="zh-CN"/>
        </w:rPr>
        <w:t>安排</w:t>
      </w:r>
      <w:bookmarkEnd w:id="6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自</w:t>
      </w:r>
      <w:r>
        <w:rPr>
          <w:rFonts w:hint="eastAsia" w:cs="宋体"/>
          <w:kern w:val="0"/>
          <w:sz w:val="32"/>
          <w:szCs w:val="32"/>
          <w:lang w:eastAsia="zh-CN"/>
        </w:rPr>
        <w:t>此文档发布之日</w:t>
      </w:r>
      <w:r>
        <w:rPr>
          <w:rFonts w:hint="eastAsia" w:ascii="Times New Roman" w:hAnsi="Times New Roman" w:cs="宋体"/>
          <w:kern w:val="0"/>
          <w:sz w:val="32"/>
          <w:szCs w:val="32"/>
        </w:rPr>
        <w:t>起，参测机构根据自身系统开发进度</w:t>
      </w:r>
      <w:r>
        <w:rPr>
          <w:rFonts w:hint="eastAsia" w:cs="宋体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cs="宋体"/>
          <w:kern w:val="0"/>
          <w:sz w:val="32"/>
          <w:szCs w:val="32"/>
        </w:rPr>
        <w:t>确定与</w:t>
      </w:r>
      <w:r>
        <w:rPr>
          <w:rFonts w:hint="eastAsia" w:cs="宋体"/>
          <w:kern w:val="0"/>
          <w:sz w:val="32"/>
          <w:szCs w:val="32"/>
          <w:lang w:eastAsia="zh-CN"/>
        </w:rPr>
        <w:t>中国结算</w:t>
      </w:r>
      <w:r>
        <w:rPr>
          <w:rFonts w:hint="eastAsia" w:ascii="Times New Roman" w:hAnsi="Times New Roman" w:cs="宋体"/>
          <w:kern w:val="0"/>
          <w:sz w:val="32"/>
          <w:szCs w:val="32"/>
        </w:rPr>
        <w:t>联测时间</w:t>
      </w:r>
      <w:r>
        <w:rPr>
          <w:rFonts w:hint="eastAsia" w:cs="宋体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cs="宋体"/>
          <w:kern w:val="0"/>
          <w:sz w:val="32"/>
          <w:szCs w:val="32"/>
        </w:rPr>
        <w:t>根据测试结果选择参与</w:t>
      </w:r>
      <w:r>
        <w:rPr>
          <w:rFonts w:hint="eastAsia" w:cs="宋体"/>
          <w:kern w:val="0"/>
          <w:sz w:val="32"/>
          <w:szCs w:val="32"/>
          <w:lang w:eastAsia="zh-CN"/>
        </w:rPr>
        <w:t>一轮或多轮</w:t>
      </w:r>
      <w:r>
        <w:rPr>
          <w:rFonts w:hint="eastAsia" w:ascii="Times New Roman" w:hAnsi="Times New Roman" w:cs="宋体"/>
          <w:kern w:val="0"/>
          <w:sz w:val="32"/>
          <w:szCs w:val="32"/>
        </w:rPr>
        <w:t>测试。</w:t>
      </w:r>
    </w:p>
    <w:p>
      <w:pPr>
        <w:rPr>
          <w:rFonts w:hint="eastAsia"/>
          <w:lang w:eastAsia="zh-CN"/>
        </w:rPr>
      </w:pP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 w:eastAsia="楷体"/>
          <w:b w:val="0"/>
          <w:sz w:val="32"/>
          <w:highlight w:val="none"/>
          <w:lang w:eastAsia="zh-CN"/>
        </w:rPr>
      </w:pPr>
      <w:bookmarkStart w:id="8" w:name="_Toc7019"/>
      <w:r>
        <w:rPr>
          <w:rFonts w:hint="eastAsia" w:eastAsia="楷体"/>
          <w:b w:val="0"/>
          <w:sz w:val="32"/>
          <w:lang w:eastAsia="zh-CN"/>
        </w:rPr>
        <w:t>（一）测试</w:t>
      </w:r>
      <w:bookmarkEnd w:id="7"/>
      <w:r>
        <w:rPr>
          <w:rFonts w:hint="eastAsia" w:eastAsia="楷体"/>
          <w:b w:val="0"/>
          <w:sz w:val="32"/>
          <w:lang w:eastAsia="zh-CN"/>
        </w:rPr>
        <w:t>环</w:t>
      </w:r>
      <w:r>
        <w:rPr>
          <w:rFonts w:hint="eastAsia" w:eastAsia="楷体"/>
          <w:b w:val="0"/>
          <w:sz w:val="32"/>
          <w:highlight w:val="none"/>
          <w:lang w:eastAsia="zh-CN"/>
        </w:rPr>
        <w:t>境</w:t>
      </w:r>
      <w:bookmarkEnd w:id="8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cs="宋体"/>
          <w:kern w:val="0"/>
          <w:sz w:val="32"/>
          <w:szCs w:val="32"/>
          <w:highlight w:val="none"/>
          <w:lang w:val="en-US" w:eastAsia="zh-CN"/>
        </w:rPr>
        <w:t>参测单位需使用深圳证券通信有限公司（以下简称‘深证通’）FDEP软件</w:t>
      </w:r>
      <w:r>
        <w:rPr>
          <w:rFonts w:hint="eastAsia" w:ascii="Times New Roman" w:hAnsi="Times New Roman" w:cs="宋体"/>
          <w:b/>
          <w:bCs/>
          <w:kern w:val="0"/>
          <w:sz w:val="32"/>
          <w:szCs w:val="32"/>
          <w:highlight w:val="none"/>
          <w:lang w:val="en-US" w:eastAsia="zh-CN"/>
        </w:rPr>
        <w:t>通过深证通专线测试网络，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  <w:lang w:val="en-US" w:eastAsia="zh-CN"/>
        </w:rPr>
        <w:t>与</w:t>
      </w:r>
      <w:r>
        <w:rPr>
          <w:rFonts w:hint="eastAsia" w:cs="宋体"/>
          <w:kern w:val="0"/>
          <w:sz w:val="32"/>
          <w:szCs w:val="32"/>
          <w:highlight w:val="none"/>
          <w:lang w:val="en-US" w:eastAsia="zh-CN"/>
        </w:rPr>
        <w:t>中数平台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  <w:lang w:val="en-US" w:eastAsia="zh-CN"/>
        </w:rPr>
        <w:t>FDEP测试小站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</w:rPr>
        <w:t>传输接口文件。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highlight w:val="none"/>
          <w:lang w:eastAsia="zh-CN"/>
        </w:rPr>
        <w:t>中数平台市场测试环境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  <w:shd w:val="clear" w:fill="FFFFFF" w:themeFill="background1"/>
        </w:rPr>
        <w:t>小站号</w:t>
      </w:r>
      <w:r>
        <w:rPr>
          <w:rFonts w:hint="eastAsia" w:cs="宋体"/>
          <w:kern w:val="0"/>
          <w:sz w:val="32"/>
          <w:szCs w:val="32"/>
          <w:highlight w:val="none"/>
          <w:shd w:val="clear" w:fill="FFFFFF" w:themeFill="background1"/>
          <w:lang w:eastAsia="zh-CN"/>
        </w:rPr>
        <w:t>为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  <w:shd w:val="clear" w:fill="FFFFFF" w:themeFill="background1"/>
        </w:rPr>
        <w:t>R_BEIJING22</w:t>
      </w:r>
      <w:r>
        <w:rPr>
          <w:rFonts w:hint="eastAsia" w:cs="宋体"/>
          <w:kern w:val="0"/>
          <w:sz w:val="32"/>
          <w:szCs w:val="32"/>
          <w:highlight w:val="none"/>
          <w:shd w:val="clear" w:fill="FFFFFF" w:themeFill="background1"/>
          <w:lang w:eastAsia="zh-CN"/>
        </w:rPr>
        <w:t>，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</w:rPr>
        <w:t>参测单位在测试前需提交测试申请表（附件1），并确认FDEP连通性，</w:t>
      </w:r>
      <w:r>
        <w:rPr>
          <w:rFonts w:hint="eastAsia" w:cs="宋体"/>
          <w:kern w:val="0"/>
          <w:sz w:val="32"/>
          <w:szCs w:val="32"/>
          <w:highlight w:val="none"/>
          <w:lang w:eastAsia="zh-CN"/>
        </w:rPr>
        <w:t>确保</w:t>
      </w:r>
      <w:r>
        <w:rPr>
          <w:rFonts w:hint="eastAsia" w:cs="宋体"/>
          <w:kern w:val="0"/>
          <w:sz w:val="32"/>
          <w:szCs w:val="32"/>
          <w:highlight w:val="none"/>
          <w:lang w:val="en-US" w:eastAsia="zh-CN"/>
        </w:rPr>
        <w:t>FDEP带宽满足测试需要。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</w:rPr>
        <w:t>未开通</w:t>
      </w:r>
      <w:r>
        <w:rPr>
          <w:rFonts w:hint="eastAsia" w:cs="宋体"/>
          <w:kern w:val="0"/>
          <w:sz w:val="32"/>
          <w:szCs w:val="32"/>
          <w:highlight w:val="none"/>
          <w:lang w:eastAsia="zh-CN"/>
        </w:rPr>
        <w:t>到中数平台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</w:rPr>
        <w:t>连接</w:t>
      </w:r>
      <w:r>
        <w:rPr>
          <w:rFonts w:hint="eastAsia" w:cs="宋体"/>
          <w:kern w:val="0"/>
          <w:sz w:val="32"/>
          <w:szCs w:val="32"/>
          <w:highlight w:val="none"/>
          <w:lang w:eastAsia="zh-CN"/>
        </w:rPr>
        <w:t>的小站</w:t>
      </w:r>
      <w:r>
        <w:rPr>
          <w:rFonts w:hint="eastAsia" w:ascii="Times New Roman" w:hAnsi="Times New Roman" w:cs="宋体"/>
          <w:kern w:val="0"/>
          <w:sz w:val="32"/>
          <w:szCs w:val="32"/>
          <w:highlight w:val="none"/>
        </w:rPr>
        <w:t>需提前与</w:t>
      </w:r>
      <w:r>
        <w:rPr>
          <w:rFonts w:hint="eastAsia" w:ascii="Times New Roman" w:hAnsi="Times New Roman" w:cs="宋体"/>
          <w:kern w:val="0"/>
          <w:sz w:val="32"/>
          <w:szCs w:val="32"/>
        </w:rPr>
        <w:t>深证通联系开通对端</w:t>
      </w:r>
      <w:r>
        <w:rPr>
          <w:rFonts w:hint="eastAsia" w:cs="宋体"/>
          <w:kern w:val="0"/>
          <w:sz w:val="32"/>
          <w:szCs w:val="32"/>
          <w:lang w:eastAsia="zh-CN"/>
        </w:rPr>
        <w:t>，带宽不满足测试需要的小站</w:t>
      </w:r>
      <w:r>
        <w:rPr>
          <w:rFonts w:hint="eastAsia" w:ascii="Times New Roman" w:hAnsi="Times New Roman" w:cs="宋体"/>
          <w:kern w:val="0"/>
          <w:sz w:val="32"/>
          <w:szCs w:val="32"/>
        </w:rPr>
        <w:t>需提前与深证通联系</w:t>
      </w:r>
      <w:r>
        <w:rPr>
          <w:rFonts w:hint="eastAsia" w:cs="宋体"/>
          <w:kern w:val="0"/>
          <w:sz w:val="32"/>
          <w:szCs w:val="32"/>
          <w:lang w:eastAsia="zh-CN"/>
        </w:rPr>
        <w:t>升级小站</w:t>
      </w:r>
      <w:r>
        <w:rPr>
          <w:rFonts w:hint="eastAsia" w:ascii="Times New Roman" w:hAnsi="Times New Roman" w:cs="宋体"/>
          <w:kern w:val="0"/>
          <w:sz w:val="32"/>
          <w:szCs w:val="32"/>
        </w:rPr>
        <w:t>。</w:t>
      </w: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 w:eastAsia="楷体"/>
          <w:b w:val="0"/>
          <w:sz w:val="32"/>
        </w:rPr>
      </w:pPr>
      <w:bookmarkStart w:id="9" w:name="_Toc27350"/>
      <w:r>
        <w:rPr>
          <w:rFonts w:hint="eastAsia" w:eastAsia="楷体"/>
          <w:b w:val="0"/>
          <w:sz w:val="32"/>
          <w:lang w:eastAsia="zh-CN"/>
        </w:rPr>
        <w:t>（二）</w:t>
      </w:r>
      <w:r>
        <w:rPr>
          <w:rFonts w:hint="eastAsia" w:eastAsia="楷体"/>
          <w:b w:val="0"/>
          <w:sz w:val="32"/>
        </w:rPr>
        <w:t>测试</w:t>
      </w:r>
      <w:r>
        <w:rPr>
          <w:rFonts w:hint="eastAsia" w:eastAsia="楷体"/>
          <w:b w:val="0"/>
          <w:sz w:val="32"/>
          <w:lang w:eastAsia="zh-CN"/>
        </w:rPr>
        <w:t>内容</w:t>
      </w:r>
      <w:bookmarkEnd w:id="9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测试数据由TA系统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自行</w:t>
      </w:r>
      <w:r>
        <w:rPr>
          <w:rFonts w:hint="eastAsia" w:ascii="Times New Roman" w:hAnsi="Times New Roman" w:cs="宋体"/>
          <w:kern w:val="0"/>
          <w:sz w:val="32"/>
          <w:szCs w:val="32"/>
        </w:rPr>
        <w:t>生成，案例覆盖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集中备份接口规范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V</w:t>
      </w:r>
      <w:r>
        <w:rPr>
          <w:rFonts w:hint="eastAsia" w:ascii="Times New Roman" w:hAnsi="Times New Roman" w:cs="宋体"/>
          <w:kern w:val="0"/>
          <w:sz w:val="32"/>
          <w:szCs w:val="32"/>
        </w:rPr>
        <w:t>2.2版本的</w:t>
      </w:r>
      <w:r>
        <w:rPr>
          <w:rFonts w:hint="eastAsia" w:cs="宋体"/>
          <w:kern w:val="0"/>
          <w:sz w:val="32"/>
          <w:szCs w:val="32"/>
          <w:lang w:eastAsia="zh-CN"/>
        </w:rPr>
        <w:t>所有</w:t>
      </w:r>
      <w:r>
        <w:rPr>
          <w:rFonts w:hint="eastAsia" w:ascii="Times New Roman" w:hAnsi="Times New Roman" w:cs="宋体"/>
          <w:kern w:val="0"/>
          <w:sz w:val="32"/>
          <w:szCs w:val="32"/>
        </w:rPr>
        <w:t>内容。本次测试的重点包括以下内容：</w:t>
      </w:r>
      <w:bookmarkStart w:id="10" w:name="_Toc144195640"/>
      <w:bookmarkStart w:id="11" w:name="_Toc134953049"/>
      <w:bookmarkStart w:id="12" w:name="_Toc134943119"/>
    </w:p>
    <w:bookmarkEnd w:id="10"/>
    <w:bookmarkEnd w:id="11"/>
    <w:bookmarkEnd w:id="12"/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eastAsia="zh-CN"/>
        </w:rPr>
        <w:t>报送的索引、数据</w:t>
      </w:r>
      <w:r>
        <w:rPr>
          <w:rFonts w:hint="eastAsia" w:ascii="Times New Roman" w:hAnsi="Times New Roman" w:cs="宋体"/>
          <w:kern w:val="0"/>
          <w:sz w:val="32"/>
          <w:szCs w:val="32"/>
        </w:rPr>
        <w:t>文件符合接口规范要求</w:t>
      </w:r>
      <w:r>
        <w:rPr>
          <w:rFonts w:hint="eastAsia" w:cs="宋体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能够正确导出全量数据和增量数据</w:t>
      </w:r>
      <w:r>
        <w:rPr>
          <w:rFonts w:hint="eastAsia" w:cs="宋体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连续的增量数据与全量数据的一致性。</w:t>
      </w: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 w:eastAsia="楷体"/>
          <w:b w:val="0"/>
          <w:sz w:val="32"/>
          <w:lang w:eastAsia="zh-CN"/>
        </w:rPr>
      </w:pPr>
      <w:bookmarkStart w:id="13" w:name="_Toc9760"/>
      <w:r>
        <w:rPr>
          <w:rFonts w:hint="eastAsia" w:eastAsia="楷体"/>
          <w:b w:val="0"/>
          <w:sz w:val="32"/>
          <w:lang w:eastAsia="zh-CN"/>
        </w:rPr>
        <w:t>（三）测试准备</w:t>
      </w:r>
      <w:bookmarkEnd w:id="1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参测机构需完成测试环境接入和连通性测试。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参测单位在测试前需提交测试申请表（附件1），并向深证通</w:t>
      </w:r>
      <w:r>
        <w:rPr>
          <w:rFonts w:hint="eastAsia" w:cs="宋体"/>
          <w:kern w:val="0"/>
          <w:sz w:val="32"/>
          <w:szCs w:val="32"/>
          <w:lang w:eastAsia="zh-CN"/>
        </w:rPr>
        <w:t>专线</w:t>
      </w:r>
      <w:r>
        <w:rPr>
          <w:rFonts w:hint="eastAsia" w:ascii="Times New Roman" w:hAnsi="Times New Roman" w:cs="宋体"/>
          <w:kern w:val="0"/>
          <w:sz w:val="32"/>
          <w:szCs w:val="32"/>
        </w:rPr>
        <w:t>测试环境申请并确认与</w:t>
      </w:r>
      <w:r>
        <w:rPr>
          <w:rFonts w:hint="eastAsia" w:cs="宋体"/>
          <w:kern w:val="0"/>
          <w:sz w:val="32"/>
          <w:szCs w:val="32"/>
          <w:lang w:eastAsia="zh-CN"/>
        </w:rPr>
        <w:t>中数平台</w:t>
      </w:r>
      <w:r>
        <w:rPr>
          <w:rFonts w:hint="eastAsia" w:ascii="Times New Roman" w:hAnsi="Times New Roman" w:cs="宋体"/>
          <w:kern w:val="0"/>
          <w:sz w:val="32"/>
          <w:szCs w:val="32"/>
        </w:rPr>
        <w:t>FDEP测试小站连通。未开通小站连接的需提前与深证通联系开通。</w:t>
      </w: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 w:eastAsia="楷体"/>
          <w:b w:val="0"/>
          <w:sz w:val="32"/>
          <w:lang w:eastAsia="zh-CN"/>
        </w:rPr>
      </w:pPr>
      <w:bookmarkStart w:id="14" w:name="_Toc26190"/>
      <w:r>
        <w:rPr>
          <w:rFonts w:hint="eastAsia" w:eastAsia="楷体"/>
          <w:b w:val="0"/>
          <w:sz w:val="32"/>
          <w:lang w:eastAsia="zh-CN"/>
        </w:rPr>
        <w:t>（四）测试周期</w:t>
      </w:r>
      <w:bookmarkEnd w:id="14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cs="宋体"/>
          <w:kern w:val="0"/>
          <w:sz w:val="32"/>
          <w:szCs w:val="32"/>
          <w:lang w:eastAsia="zh-CN"/>
        </w:rPr>
      </w:pPr>
      <w:r>
        <w:rPr>
          <w:rFonts w:hint="eastAsia" w:cs="宋体"/>
          <w:kern w:val="0"/>
          <w:sz w:val="32"/>
          <w:szCs w:val="32"/>
          <w:lang w:eastAsia="zh-CN"/>
        </w:rPr>
        <w:t>测试需按照轮次进行，每一轮测试需连续</w:t>
      </w:r>
      <w:r>
        <w:rPr>
          <w:rFonts w:hint="eastAsia" w:ascii="Times New Roman" w:hAnsi="Times New Roman" w:cs="宋体"/>
          <w:kern w:val="0"/>
          <w:sz w:val="32"/>
          <w:szCs w:val="32"/>
        </w:rPr>
        <w:t>报送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cs="宋体"/>
          <w:kern w:val="0"/>
          <w:sz w:val="32"/>
          <w:szCs w:val="32"/>
          <w:lang w:eastAsia="zh-CN"/>
        </w:rPr>
        <w:t>个交易日的</w:t>
      </w:r>
      <w:r>
        <w:rPr>
          <w:rFonts w:hint="eastAsia" w:ascii="Times New Roman" w:hAnsi="Times New Roman" w:cs="宋体"/>
          <w:kern w:val="0"/>
          <w:sz w:val="32"/>
          <w:szCs w:val="32"/>
        </w:rPr>
        <w:t>备份数据，报送的文件如下表所示</w:t>
      </w:r>
      <w:r>
        <w:rPr>
          <w:rFonts w:hint="eastAsia" w:cs="宋体"/>
          <w:kern w:val="0"/>
          <w:sz w:val="32"/>
          <w:szCs w:val="32"/>
          <w:lang w:eastAsia="zh-CN"/>
        </w:rPr>
        <w:t>（其中</w:t>
      </w:r>
      <w:r>
        <w:rPr>
          <w:rFonts w:hint="eastAsia" w:cs="宋体"/>
          <w:kern w:val="0"/>
          <w:sz w:val="32"/>
          <w:szCs w:val="32"/>
          <w:lang w:val="en-US" w:eastAsia="zh-CN"/>
        </w:rPr>
        <w:t>T日代表测试开始日期</w:t>
      </w:r>
      <w:r>
        <w:rPr>
          <w:rFonts w:hint="eastAsia" w:cs="宋体"/>
          <w:kern w:val="0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cs="宋体"/>
          <w:kern w:val="0"/>
          <w:sz w:val="32"/>
          <w:szCs w:val="32"/>
          <w:lang w:eastAsia="zh-CN"/>
        </w:rPr>
      </w:pPr>
      <w:r>
        <w:rPr>
          <w:rFonts w:hint="eastAsia" w:cs="宋体"/>
          <w:kern w:val="0"/>
          <w:sz w:val="32"/>
          <w:szCs w:val="32"/>
          <w:lang w:eastAsia="zh-CN"/>
        </w:rPr>
        <w:t>参测机构可根据自身测试情况，选择参加一轮测试或者多轮测试。每轮测试开始时间需在上一轮测试结束后，具体时间由参测机构自行决定后邮件反馈中国结算。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参测机构根据自己的业务范围确定是否报送公/私募数据，</w:t>
      </w:r>
      <w:r>
        <w:rPr>
          <w:rFonts w:hint="eastAsia" w:cs="宋体"/>
          <w:kern w:val="0"/>
          <w:sz w:val="32"/>
          <w:szCs w:val="32"/>
          <w:lang w:eastAsia="zh-CN"/>
        </w:rPr>
        <w:t>具体</w:t>
      </w:r>
      <w:r>
        <w:rPr>
          <w:rFonts w:hint="eastAsia" w:ascii="Times New Roman" w:hAnsi="Times New Roman" w:cs="宋体"/>
          <w:kern w:val="0"/>
          <w:sz w:val="32"/>
          <w:szCs w:val="32"/>
        </w:rPr>
        <w:t>请参考《基金行业数据集中备份接口规范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V2.2版本</w:t>
      </w:r>
      <w:r>
        <w:rPr>
          <w:rFonts w:hint="eastAsia" w:ascii="Times New Roman" w:hAnsi="Times New Roman" w:cs="宋体"/>
          <w:kern w:val="0"/>
          <w:sz w:val="32"/>
          <w:szCs w:val="32"/>
        </w:rPr>
        <w:t>报送技术帮助文档》。</w:t>
      </w:r>
    </w:p>
    <w:tbl>
      <w:tblPr>
        <w:tblStyle w:val="35"/>
        <w:tblW w:w="70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53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接口文件日期</w:t>
            </w:r>
          </w:p>
        </w:tc>
        <w:tc>
          <w:tcPr>
            <w:tcW w:w="5324" w:type="dxa"/>
            <w:shd w:val="clear" w:color="auto" w:fill="D7D7D7" w:themeFill="background1" w:themeFillShade="D8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报送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T日</w:t>
            </w:r>
          </w:p>
        </w:tc>
        <w:tc>
          <w:tcPr>
            <w:tcW w:w="532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格式校验测试。建议先发送小样本数据进行格式校验。（全量数据，小样本）</w:t>
            </w:r>
          </w:p>
          <w:p>
            <w:pPr>
              <w:widowControl/>
              <w:spacing w:line="360" w:lineRule="auto"/>
              <w:jc w:val="left"/>
              <w:rPr>
                <w:rFonts w:hint="default" w:ascii="宋体" w:hAnsi="宋体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格式校验通过后需通知中数平台。中数平台收到参测机构反馈后，对测试库中该参测机构T日测试数据、快照数据进行删除，以避免错误数据影响后续测试。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72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T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+1</w:t>
            </w:r>
          </w:p>
        </w:tc>
        <w:tc>
          <w:tcPr>
            <w:tcW w:w="532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报送增量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数据、</w:t>
            </w:r>
            <w:r>
              <w:rPr>
                <w:rFonts w:hint="eastAsia" w:ascii="宋体" w:hAnsi="宋体" w:cs="宋体"/>
                <w:kern w:val="0"/>
                <w:sz w:val="24"/>
              </w:rPr>
              <w:t>全量数据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T+2</w:t>
            </w:r>
          </w:p>
        </w:tc>
        <w:tc>
          <w:tcPr>
            <w:tcW w:w="532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报送增量数据。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T+3</w:t>
            </w:r>
          </w:p>
        </w:tc>
        <w:tc>
          <w:tcPr>
            <w:tcW w:w="532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报送增量数据。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T+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5324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楷体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报送增量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数据、</w:t>
            </w:r>
            <w:r>
              <w:rPr>
                <w:rFonts w:hint="eastAsia" w:ascii="宋体" w:hAnsi="宋体" w:cs="宋体"/>
                <w:kern w:val="0"/>
                <w:sz w:val="24"/>
              </w:rPr>
              <w:t>全量数据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  <w:lang w:eastAsia="zh-CN"/>
        </w:rPr>
      </w:pPr>
      <w:r>
        <w:rPr>
          <w:rFonts w:hint="eastAsia" w:cs="宋体"/>
          <w:kern w:val="0"/>
          <w:sz w:val="32"/>
          <w:szCs w:val="32"/>
          <w:lang w:eastAsia="zh-CN"/>
        </w:rPr>
        <w:t>每日测试数据报送完成，并通过中数平台格式校验后，需联系平台测试联系人，确认数据无误后，才可继续报送下一日数据。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在测试最后一日，</w:t>
      </w:r>
      <w:r>
        <w:rPr>
          <w:rFonts w:hint="eastAsia" w:cs="宋体"/>
          <w:kern w:val="0"/>
          <w:sz w:val="32"/>
          <w:szCs w:val="32"/>
          <w:lang w:eastAsia="zh-CN"/>
        </w:rPr>
        <w:t>中数平台将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根据系统</w:t>
      </w:r>
      <w:r>
        <w:rPr>
          <w:rFonts w:hint="eastAsia" w:cs="宋体"/>
          <w:kern w:val="0"/>
          <w:sz w:val="32"/>
          <w:szCs w:val="32"/>
          <w:lang w:eastAsia="zh-CN"/>
        </w:rPr>
        <w:t>数据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（</w:t>
      </w:r>
      <w:r>
        <w:rPr>
          <w:rFonts w:hint="eastAsia" w:cs="宋体"/>
          <w:kern w:val="0"/>
          <w:sz w:val="32"/>
          <w:szCs w:val="32"/>
          <w:lang w:eastAsia="zh-CN"/>
        </w:rPr>
        <w:t>由</w:t>
      </w:r>
      <w:r>
        <w:rPr>
          <w:rFonts w:hint="eastAsia" w:cs="宋体"/>
          <w:kern w:val="0"/>
          <w:sz w:val="32"/>
          <w:szCs w:val="32"/>
          <w:lang w:val="en-US" w:eastAsia="zh-CN"/>
        </w:rPr>
        <w:t>TA报送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T</w:t>
      </w:r>
      <w:r>
        <w:rPr>
          <w:rFonts w:hint="eastAsia" w:cs="宋体"/>
          <w:kern w:val="0"/>
          <w:sz w:val="32"/>
          <w:szCs w:val="32"/>
          <w:lang w:val="en-US" w:eastAsia="zh-CN"/>
        </w:rPr>
        <w:t>+1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日至T+4日数据加工而来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）与参测机构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T+4日报送全量数据进行核对</w:t>
      </w:r>
      <w:r>
        <w:rPr>
          <w:rFonts w:hint="eastAsia" w:cs="宋体"/>
          <w:kern w:val="0"/>
          <w:sz w:val="32"/>
          <w:szCs w:val="32"/>
          <w:lang w:val="en-US" w:eastAsia="zh-CN"/>
        </w:rPr>
        <w:t>，核对结果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一致，则测试</w:t>
      </w:r>
      <w:r>
        <w:rPr>
          <w:rFonts w:hint="eastAsia" w:cs="宋体"/>
          <w:kern w:val="0"/>
          <w:sz w:val="32"/>
          <w:szCs w:val="32"/>
          <w:lang w:val="en-US" w:eastAsia="zh-CN"/>
        </w:rPr>
        <w:t>通过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。</w:t>
      </w:r>
    </w:p>
    <w:p>
      <w:pPr>
        <w:pStyle w:val="2"/>
        <w:numPr>
          <w:ilvl w:val="0"/>
          <w:numId w:val="0"/>
        </w:numPr>
        <w:spacing w:before="240" w:after="0"/>
        <w:ind w:leftChars="0"/>
        <w:jc w:val="both"/>
        <w:rPr>
          <w:rFonts w:hint="eastAsia" w:eastAsia="黑体"/>
          <w:b w:val="0"/>
          <w:bCs w:val="0"/>
          <w:sz w:val="32"/>
          <w:szCs w:val="32"/>
          <w:lang w:eastAsia="zh-CN"/>
        </w:rPr>
      </w:pPr>
      <w:bookmarkStart w:id="15" w:name="_Toc17297"/>
      <w:bookmarkStart w:id="16" w:name="_Toc234226909"/>
      <w:bookmarkStart w:id="17" w:name="_Toc232815956"/>
      <w:r>
        <w:rPr>
          <w:rFonts w:hint="eastAsia" w:eastAsia="黑体"/>
          <w:b w:val="0"/>
          <w:bCs w:val="0"/>
          <w:sz w:val="32"/>
          <w:szCs w:val="32"/>
          <w:lang w:eastAsia="zh-CN"/>
        </w:rPr>
        <w:t>五、注意事项</w:t>
      </w:r>
      <w:bookmarkEnd w:id="15"/>
    </w:p>
    <w:bookmarkEnd w:id="16"/>
    <w:bookmarkEnd w:id="17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cs="宋体"/>
          <w:kern w:val="0"/>
          <w:sz w:val="32"/>
          <w:szCs w:val="32"/>
        </w:rPr>
        <w:t>各参测单位应根据测试方案，以独立于生产系统的测试环境开展测试工作，做好详尽的系统测试计划，指定专人负责本次测试工作，并于开始测试前做好测试准备工作。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2. </w:t>
      </w:r>
      <w:r>
        <w:rPr>
          <w:rFonts w:hint="eastAsia" w:cs="宋体"/>
          <w:kern w:val="0"/>
          <w:sz w:val="32"/>
          <w:szCs w:val="32"/>
          <w:lang w:eastAsia="zh-CN"/>
        </w:rPr>
        <w:t>本次接口升级后，中数平台将按照接口规范要求，严格对各文件报送字段和业务进行校验，</w:t>
      </w:r>
      <w:r>
        <w:rPr>
          <w:rFonts w:hint="eastAsia" w:cs="宋体"/>
          <w:b/>
          <w:bCs/>
          <w:kern w:val="0"/>
          <w:sz w:val="32"/>
          <w:szCs w:val="32"/>
          <w:lang w:eastAsia="zh-CN"/>
        </w:rPr>
        <w:t>请各参与人的测试范围务必涵盖生产环境可能出现的全部业务场景，保证测试的充分性和完整性。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3. </w:t>
      </w:r>
      <w:r>
        <w:rPr>
          <w:rFonts w:hint="eastAsia" w:ascii="Times New Roman" w:hAnsi="Times New Roman" w:cs="宋体"/>
          <w:kern w:val="0"/>
          <w:sz w:val="32"/>
          <w:szCs w:val="32"/>
        </w:rPr>
        <w:t>为了确保数据安全，请各</w:t>
      </w:r>
      <w:r>
        <w:rPr>
          <w:rFonts w:hint="eastAsia" w:cs="宋体"/>
          <w:kern w:val="0"/>
          <w:sz w:val="32"/>
          <w:szCs w:val="32"/>
          <w:lang w:eastAsia="zh-CN"/>
        </w:rPr>
        <w:t>参测</w:t>
      </w:r>
      <w:r>
        <w:rPr>
          <w:rFonts w:hint="eastAsia" w:ascii="Times New Roman" w:hAnsi="Times New Roman" w:cs="宋体"/>
          <w:kern w:val="0"/>
          <w:sz w:val="32"/>
          <w:szCs w:val="32"/>
        </w:rPr>
        <w:t>机构不要</w:t>
      </w:r>
      <w:r>
        <w:rPr>
          <w:rFonts w:hint="eastAsia" w:cs="宋体"/>
          <w:kern w:val="0"/>
          <w:sz w:val="32"/>
          <w:szCs w:val="32"/>
          <w:lang w:eastAsia="zh-CN"/>
        </w:rPr>
        <w:t>直接</w:t>
      </w:r>
      <w:r>
        <w:rPr>
          <w:rFonts w:hint="eastAsia" w:ascii="Times New Roman" w:hAnsi="Times New Roman" w:cs="宋体"/>
          <w:kern w:val="0"/>
          <w:sz w:val="32"/>
          <w:szCs w:val="32"/>
        </w:rPr>
        <w:t>使用生产数据进行测试</w:t>
      </w:r>
      <w:r>
        <w:rPr>
          <w:rFonts w:hint="eastAsia" w:cs="宋体"/>
          <w:kern w:val="0"/>
          <w:sz w:val="32"/>
          <w:szCs w:val="32"/>
          <w:lang w:eastAsia="zh-CN"/>
        </w:rPr>
        <w:t>，</w:t>
      </w:r>
      <w:r>
        <w:rPr>
          <w:rFonts w:hint="eastAsia" w:cs="宋体"/>
          <w:b/>
          <w:bCs/>
          <w:kern w:val="0"/>
          <w:sz w:val="32"/>
          <w:szCs w:val="32"/>
          <w:lang w:eastAsia="zh-CN"/>
        </w:rPr>
        <w:t>测试数据不能包含真实个人信息</w:t>
      </w:r>
      <w:r>
        <w:rPr>
          <w:rFonts w:hint="eastAsia" w:ascii="Times New Roman" w:hAnsi="Times New Roman" w:cs="宋体"/>
          <w:kern w:val="0"/>
          <w:sz w:val="32"/>
          <w:szCs w:val="32"/>
        </w:rPr>
        <w:t>，</w:t>
      </w:r>
      <w:r>
        <w:rPr>
          <w:rFonts w:hint="eastAsia" w:cs="宋体"/>
          <w:kern w:val="0"/>
          <w:sz w:val="32"/>
          <w:szCs w:val="32"/>
          <w:lang w:eastAsia="zh-CN"/>
        </w:rPr>
        <w:t>且</w:t>
      </w:r>
      <w:r>
        <w:rPr>
          <w:rFonts w:hint="eastAsia" w:ascii="Times New Roman" w:hAnsi="Times New Roman" w:cs="宋体"/>
          <w:kern w:val="0"/>
          <w:sz w:val="32"/>
          <w:szCs w:val="32"/>
        </w:rPr>
        <w:t>单个文件大小不超过</w:t>
      </w:r>
      <w:r>
        <w:rPr>
          <w:rFonts w:hint="eastAsia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cs="宋体"/>
          <w:kern w:val="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cs="宋体"/>
          <w:kern w:val="0"/>
          <w:sz w:val="32"/>
          <w:szCs w:val="32"/>
        </w:rPr>
        <w:t>MB。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4. </w:t>
      </w:r>
      <w:r>
        <w:rPr>
          <w:rFonts w:hint="eastAsia" w:ascii="Times New Roman" w:hAnsi="Times New Roman" w:cs="宋体"/>
          <w:kern w:val="0"/>
          <w:sz w:val="32"/>
          <w:szCs w:val="32"/>
        </w:rPr>
        <w:t>各参测单位应于测试过程中详细记载测试现象与结果，检查其正确性。如发现异常现象，</w:t>
      </w:r>
      <w:r>
        <w:rPr>
          <w:rFonts w:hint="eastAsia" w:cs="宋体"/>
          <w:kern w:val="0"/>
          <w:sz w:val="32"/>
          <w:szCs w:val="32"/>
          <w:lang w:eastAsia="zh-CN"/>
        </w:rPr>
        <w:t>请</w:t>
      </w:r>
      <w:r>
        <w:rPr>
          <w:rFonts w:hint="eastAsia" w:ascii="Times New Roman" w:hAnsi="Times New Roman" w:cs="宋体"/>
          <w:kern w:val="0"/>
          <w:sz w:val="32"/>
          <w:szCs w:val="32"/>
        </w:rPr>
        <w:t>及时</w:t>
      </w:r>
      <w:r>
        <w:rPr>
          <w:rFonts w:hint="eastAsia" w:cs="宋体"/>
          <w:kern w:val="0"/>
          <w:sz w:val="32"/>
          <w:szCs w:val="32"/>
          <w:lang w:eastAsia="zh-CN"/>
        </w:rPr>
        <w:t>反馈</w:t>
      </w:r>
      <w:r>
        <w:rPr>
          <w:rFonts w:hint="eastAsia" w:ascii="Times New Roman" w:hAnsi="Times New Roman" w:cs="宋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5. </w:t>
      </w:r>
      <w:r>
        <w:rPr>
          <w:rFonts w:hint="eastAsia" w:ascii="Times New Roman" w:hAnsi="Times New Roman" w:cs="宋体"/>
          <w:kern w:val="0"/>
          <w:sz w:val="32"/>
          <w:szCs w:val="32"/>
        </w:rPr>
        <w:t>测试正式开始后，如参测单位发现结算数据问题，</w:t>
      </w:r>
      <w:r>
        <w:rPr>
          <w:rFonts w:hint="eastAsia" w:cs="宋体"/>
          <w:kern w:val="0"/>
          <w:sz w:val="32"/>
          <w:szCs w:val="32"/>
          <w:lang w:eastAsia="zh-CN"/>
        </w:rPr>
        <w:t>请及时</w:t>
      </w:r>
      <w:r>
        <w:rPr>
          <w:rFonts w:hint="eastAsia" w:ascii="Times New Roman" w:hAnsi="Times New Roman" w:cs="宋体"/>
          <w:kern w:val="0"/>
          <w:sz w:val="32"/>
          <w:szCs w:val="32"/>
        </w:rPr>
        <w:t>发送</w:t>
      </w:r>
      <w:r>
        <w:rPr>
          <w:rFonts w:hint="eastAsia" w:cs="宋体"/>
          <w:kern w:val="0"/>
          <w:sz w:val="32"/>
          <w:szCs w:val="32"/>
          <w:lang w:eastAsia="zh-CN"/>
        </w:rPr>
        <w:t>问题</w:t>
      </w:r>
      <w:r>
        <w:rPr>
          <w:rFonts w:hint="eastAsia" w:ascii="Times New Roman" w:hAnsi="Times New Roman" w:cs="宋体"/>
          <w:kern w:val="0"/>
          <w:sz w:val="32"/>
          <w:szCs w:val="32"/>
        </w:rPr>
        <w:t>至cdep@chinaclear.com.cn。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6. </w:t>
      </w:r>
      <w:r>
        <w:rPr>
          <w:rFonts w:hint="eastAsia" w:ascii="Times New Roman" w:hAnsi="Times New Roman" w:cs="宋体"/>
          <w:kern w:val="0"/>
          <w:sz w:val="32"/>
          <w:szCs w:val="32"/>
        </w:rPr>
        <w:t>测试完成后，参测机构应及时向中国结算提交测试报告（报告盖章处及骑缝处加盖公章，模板见附件</w:t>
      </w:r>
      <w:r>
        <w:rPr>
          <w:rFonts w:hint="eastAsia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宋体"/>
          <w:kern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 xml:space="preserve">7. </w:t>
      </w:r>
      <w:r>
        <w:rPr>
          <w:rFonts w:hint="eastAsia" w:ascii="Times New Roman" w:hAnsi="Times New Roman" w:cs="宋体"/>
          <w:kern w:val="0"/>
          <w:sz w:val="32"/>
          <w:szCs w:val="32"/>
        </w:rPr>
        <w:t>为保证反馈畅通，建议先写邮件（每日会集中时间统一回复）。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cs="宋体"/>
          <w:kern w:val="0"/>
          <w:sz w:val="32"/>
          <w:szCs w:val="32"/>
          <w:lang w:val="en-US" w:eastAsia="zh-CN"/>
        </w:rPr>
        <w:t>8. 测试申请、测试反馈和测试报告的</w:t>
      </w:r>
      <w:r>
        <w:rPr>
          <w:rFonts w:hint="eastAsia" w:ascii="Times New Roman" w:hAnsi="Times New Roman" w:cs="宋体"/>
          <w:kern w:val="0"/>
          <w:sz w:val="32"/>
          <w:szCs w:val="32"/>
        </w:rPr>
        <w:t>提交方式</w:t>
      </w:r>
      <w:r>
        <w:rPr>
          <w:rFonts w:hint="eastAsia" w:cs="宋体"/>
          <w:kern w:val="0"/>
          <w:sz w:val="32"/>
          <w:szCs w:val="32"/>
          <w:lang w:eastAsia="zh-CN"/>
        </w:rPr>
        <w:t>为：</w:t>
      </w:r>
      <w:r>
        <w:rPr>
          <w:rFonts w:hint="eastAsia" w:ascii="Times New Roman" w:hAnsi="Times New Roman" w:cs="宋体"/>
          <w:kern w:val="0"/>
          <w:sz w:val="32"/>
          <w:szCs w:val="32"/>
        </w:rPr>
        <w:t>发送邮件到cdep@chinaclear.com.cn，邮件主题格式分别为：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</w:t>
      </w:r>
      <w:r>
        <w:rPr>
          <w:rFonts w:hint="eastAsia" w:cs="宋体"/>
          <w:kern w:val="0"/>
          <w:sz w:val="32"/>
          <w:szCs w:val="32"/>
          <w:lang w:eastAsia="zh-CN"/>
        </w:rPr>
        <w:t>测单位</w:t>
      </w:r>
      <w:r>
        <w:rPr>
          <w:rFonts w:hint="eastAsia" w:ascii="Times New Roman" w:hAnsi="Times New Roman" w:cs="宋体"/>
          <w:kern w:val="0"/>
          <w:sz w:val="32"/>
          <w:szCs w:val="32"/>
        </w:rPr>
        <w:t>名称+集中备份接口规范V2.2测试</w:t>
      </w:r>
      <w:r>
        <w:rPr>
          <w:rFonts w:hint="eastAsia" w:cs="宋体"/>
          <w:kern w:val="0"/>
          <w:sz w:val="32"/>
          <w:szCs w:val="32"/>
          <w:lang w:eastAsia="zh-CN"/>
        </w:rPr>
        <w:t>申请</w:t>
      </w:r>
      <w:r>
        <w:rPr>
          <w:rFonts w:hint="eastAsia" w:ascii="Times New Roman" w:hAnsi="Times New Roman" w:cs="宋体"/>
          <w:kern w:val="0"/>
          <w:sz w:val="32"/>
          <w:szCs w:val="32"/>
        </w:rPr>
        <w:t>yyyymmdd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</w:t>
      </w:r>
      <w:r>
        <w:rPr>
          <w:rFonts w:hint="eastAsia" w:cs="宋体"/>
          <w:kern w:val="0"/>
          <w:sz w:val="32"/>
          <w:szCs w:val="32"/>
          <w:lang w:eastAsia="zh-CN"/>
        </w:rPr>
        <w:t>测单位</w:t>
      </w:r>
      <w:r>
        <w:rPr>
          <w:rFonts w:hint="eastAsia" w:ascii="Times New Roman" w:hAnsi="Times New Roman" w:cs="宋体"/>
          <w:kern w:val="0"/>
          <w:sz w:val="32"/>
          <w:szCs w:val="32"/>
        </w:rPr>
        <w:t>名称+集中备份接口规范V2.2测试反馈yyyymmdd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参</w:t>
      </w:r>
      <w:r>
        <w:rPr>
          <w:rFonts w:hint="eastAsia" w:cs="宋体"/>
          <w:kern w:val="0"/>
          <w:sz w:val="32"/>
          <w:szCs w:val="32"/>
          <w:lang w:eastAsia="zh-CN"/>
        </w:rPr>
        <w:t>测单位</w:t>
      </w:r>
      <w:r>
        <w:rPr>
          <w:rFonts w:hint="eastAsia" w:ascii="Times New Roman" w:hAnsi="Times New Roman" w:cs="宋体"/>
          <w:kern w:val="0"/>
          <w:sz w:val="32"/>
          <w:szCs w:val="32"/>
        </w:rPr>
        <w:t>名称+集中备份接口规范V2.2测试报告yyyymmdd</w:t>
      </w:r>
    </w:p>
    <w:p>
      <w:pPr>
        <w:pStyle w:val="2"/>
        <w:numPr>
          <w:ilvl w:val="0"/>
          <w:numId w:val="0"/>
        </w:numPr>
        <w:spacing w:before="240" w:after="0"/>
        <w:ind w:leftChars="0"/>
        <w:jc w:val="both"/>
        <w:rPr>
          <w:rFonts w:hint="eastAsia" w:eastAsia="黑体"/>
          <w:b w:val="0"/>
          <w:bCs w:val="0"/>
          <w:sz w:val="32"/>
          <w:szCs w:val="32"/>
          <w:lang w:eastAsia="zh-CN"/>
        </w:rPr>
      </w:pPr>
      <w:bookmarkStart w:id="18" w:name="_Toc13974"/>
      <w:r>
        <w:rPr>
          <w:rFonts w:hint="eastAsia" w:eastAsia="黑体"/>
          <w:b w:val="0"/>
          <w:bCs w:val="0"/>
          <w:sz w:val="32"/>
          <w:szCs w:val="32"/>
          <w:lang w:eastAsia="zh-CN"/>
        </w:rPr>
        <w:t>六、联系方式</w:t>
      </w:r>
      <w:bookmarkEnd w:id="18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咨询电话：</w:t>
      </w:r>
      <w:r>
        <w:rPr>
          <w:rFonts w:hint="eastAsia"/>
          <w:color w:val="000000"/>
          <w:highlight w:val="none"/>
        </w:rPr>
        <w:t>010-50938506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咨询邮箱：</w:t>
      </w:r>
      <w:r>
        <w:rPr>
          <w:rFonts w:hint="eastAsia" w:ascii="Times New Roman" w:hAnsi="Times New Roman" w:cs="宋体"/>
          <w:kern w:val="0"/>
          <w:sz w:val="32"/>
          <w:szCs w:val="32"/>
          <w:lang w:val="en-US" w:eastAsia="zh-CN"/>
        </w:rPr>
        <w:t>cde</w:t>
      </w:r>
      <w:r>
        <w:rPr>
          <w:rFonts w:hint="default" w:ascii="Times New Roman" w:hAnsi="Times New Roman" w:cs="Times New Roman"/>
          <w:kern w:val="0"/>
          <w:sz w:val="32"/>
          <w:szCs w:val="32"/>
          <w:lang w:val="en-US" w:eastAsia="zh-CN"/>
        </w:rPr>
        <w:t>p</w:t>
      </w:r>
      <w:r>
        <w:rPr>
          <w:rFonts w:hint="default" w:ascii="Times New Roman" w:hAnsi="Times New Roman" w:cs="Times New Roman"/>
          <w:kern w:val="0"/>
          <w:sz w:val="32"/>
          <w:szCs w:val="32"/>
        </w:rPr>
        <w:t>＠china</w:t>
      </w:r>
      <w:r>
        <w:rPr>
          <w:rFonts w:hint="eastAsia" w:ascii="Times New Roman" w:hAnsi="Times New Roman" w:cs="宋体"/>
          <w:kern w:val="0"/>
          <w:sz w:val="32"/>
          <w:szCs w:val="32"/>
        </w:rPr>
        <w:t>clear.com.cn</w:t>
      </w:r>
    </w:p>
    <w:p>
      <w:pPr>
        <w:spacing w:line="300" w:lineRule="auto"/>
        <w:ind w:left="357"/>
        <w:rPr>
          <w:color w:val="00000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76" w:firstLineChars="1300"/>
        <w:jc w:val="left"/>
        <w:textAlignment w:val="auto"/>
        <w:rPr>
          <w:rFonts w:hint="eastAsia" w:ascii="Times New Roman" w:hAnsi="Times New Roman" w:cs="宋体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宋体"/>
          <w:b/>
          <w:bCs/>
          <w:kern w:val="0"/>
          <w:sz w:val="32"/>
          <w:szCs w:val="32"/>
        </w:rPr>
        <w:t>中国证券登记结算有限责任公司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61" w:firstLineChars="1700"/>
        <w:jc w:val="left"/>
        <w:textAlignment w:val="auto"/>
        <w:rPr>
          <w:rFonts w:hint="eastAsia" w:ascii="Times New Roman" w:hAnsi="Times New Roman" w:cs="宋体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cs="宋体"/>
          <w:b/>
          <w:bCs/>
          <w:kern w:val="0"/>
          <w:sz w:val="32"/>
          <w:szCs w:val="32"/>
        </w:rPr>
        <w:t>二○二</w:t>
      </w:r>
      <w:r>
        <w:rPr>
          <w:rFonts w:hint="eastAsia" w:cs="宋体"/>
          <w:b/>
          <w:bCs/>
          <w:kern w:val="0"/>
          <w:sz w:val="32"/>
          <w:szCs w:val="32"/>
          <w:lang w:eastAsia="zh-CN"/>
        </w:rPr>
        <w:t>四</w:t>
      </w:r>
      <w:r>
        <w:rPr>
          <w:rFonts w:hint="eastAsia" w:ascii="Times New Roman" w:hAnsi="Times New Roman" w:cs="宋体"/>
          <w:b/>
          <w:bCs/>
          <w:kern w:val="0"/>
          <w:sz w:val="32"/>
          <w:szCs w:val="32"/>
        </w:rPr>
        <w:t>年</w:t>
      </w:r>
      <w:r>
        <w:rPr>
          <w:rFonts w:hint="eastAsia" w:cs="宋体"/>
          <w:b/>
          <w:bCs/>
          <w:kern w:val="0"/>
          <w:sz w:val="32"/>
          <w:szCs w:val="32"/>
          <w:lang w:eastAsia="zh-CN"/>
        </w:rPr>
        <w:t>三</w:t>
      </w:r>
      <w:r>
        <w:rPr>
          <w:rFonts w:hint="eastAsia" w:ascii="Times New Roman" w:hAnsi="Times New Roman" w:cs="宋体"/>
          <w:b/>
          <w:bCs/>
          <w:kern w:val="0"/>
          <w:sz w:val="32"/>
          <w:szCs w:val="32"/>
        </w:rPr>
        <w:t>月</w:t>
      </w:r>
    </w:p>
    <w:p>
      <w:r>
        <w:br w:type="page"/>
      </w:r>
    </w:p>
    <w:p>
      <w:pPr>
        <w:pStyle w:val="2"/>
        <w:numPr>
          <w:ilvl w:val="0"/>
          <w:numId w:val="0"/>
        </w:numPr>
        <w:tabs>
          <w:tab w:val="left" w:pos="420"/>
          <w:tab w:val="left" w:pos="426"/>
        </w:tabs>
        <w:spacing w:before="120"/>
        <w:jc w:val="both"/>
        <w:rPr>
          <w:rFonts w:hint="eastAsia" w:ascii="黑体" w:hAnsi="黑体" w:eastAsia="黑体" w:cs="黑体"/>
          <w:sz w:val="32"/>
          <w:szCs w:val="32"/>
        </w:rPr>
      </w:pPr>
      <w:bookmarkStart w:id="19" w:name="_Toc20619"/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件1</w:t>
      </w:r>
      <w:bookmarkEnd w:id="19"/>
    </w:p>
    <w:p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《基金行业数据集中备份接口规范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V2.2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》</w:t>
      </w:r>
    </w:p>
    <w:p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测试申请表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24"/>
          <w:szCs w:val="18"/>
          <w:lang w:val="en-US" w:eastAsia="zh-CN"/>
        </w:rPr>
        <w:t xml:space="preserve">                                        </w:t>
      </w:r>
      <w:r>
        <w:rPr>
          <w:rFonts w:hint="eastAsia" w:ascii="仿宋_GB2312" w:eastAsia="仿宋_GB2312"/>
          <w:sz w:val="24"/>
          <w:szCs w:val="18"/>
        </w:rPr>
        <w:t>填表日期：</w:t>
      </w:r>
      <w:r>
        <w:rPr>
          <w:rFonts w:hint="eastAsia" w:ascii="仿宋_GB2312" w:eastAsia="仿宋_GB2312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</w:t>
      </w:r>
    </w:p>
    <w:tbl>
      <w:tblPr>
        <w:tblStyle w:val="3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3088"/>
        <w:gridCol w:w="1700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92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机构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92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sz w:val="28"/>
                <w:szCs w:val="28"/>
              </w:rPr>
              <w:t>TA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308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eastAsia="仿宋_GB2312"/>
                <w:b/>
                <w:sz w:val="28"/>
                <w:szCs w:val="28"/>
                <w:lang w:val="en-US" w:eastAsia="zh-CN"/>
              </w:rPr>
              <w:t>TA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2286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</w:trPr>
        <w:tc>
          <w:tcPr>
            <w:tcW w:w="1925" w:type="dxa"/>
            <w:vAlign w:val="center"/>
          </w:tcPr>
          <w:p>
            <w:pPr>
              <w:jc w:val="both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系统建设情况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jc w:val="both"/>
              <w:rPr>
                <w:rFonts w:hint="eastAsia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（TA名称-用途-开发商）</w:t>
            </w:r>
          </w:p>
          <w:p>
            <w:pPr>
              <w:jc w:val="both"/>
              <w:rPr>
                <w:rFonts w:hint="eastAsia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如： 主TA - 主要登记XX类型基金 - 自建</w:t>
            </w:r>
          </w:p>
          <w:p>
            <w:pPr>
              <w:jc w:val="both"/>
              <w:rPr>
                <w:rFonts w:hint="default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XXTA - 主要登记XX类型基金 -  XX开发商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925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测试负责人</w:t>
            </w:r>
          </w:p>
        </w:tc>
        <w:tc>
          <w:tcPr>
            <w:tcW w:w="3088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86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925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测试日期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日  至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>（注：实际测试文件名日期必须在测试开始日期之后）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92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数据接口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基金行业数据集中备份接口规范</w:t>
            </w:r>
            <w:r>
              <w:rPr>
                <w:rFonts w:hint="default" w:ascii="Times New Roman" w:eastAsia="仿宋_GB2312"/>
                <w:sz w:val="28"/>
                <w:szCs w:val="28"/>
                <w:lang w:eastAsia="zh-CN"/>
              </w:rPr>
              <w:t>V2.2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</w:trPr>
        <w:tc>
          <w:tcPr>
            <w:tcW w:w="1925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通信系统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eastAsia="仿宋_GB2312"/>
                <w:sz w:val="28"/>
                <w:szCs w:val="28"/>
                <w:lang w:val="en-US" w:eastAsia="zh-CN"/>
              </w:rPr>
              <w:t>FDEP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小站号：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925" w:type="dxa"/>
            <w:vMerge w:val="continue"/>
            <w:vAlign w:val="center"/>
          </w:tcPr>
          <w:p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478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是否已开通与中数平台</w:t>
            </w:r>
            <w:r>
              <w:rPr>
                <w:rFonts w:hint="default" w:ascii="Times New Roman" w:eastAsia="仿宋_GB2312"/>
                <w:sz w:val="28"/>
                <w:szCs w:val="28"/>
                <w:lang w:val="en-US" w:eastAsia="zh-CN"/>
              </w:rPr>
              <w:t>R_BEIJING22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的对端关系</w:t>
            </w:r>
          </w:p>
        </w:tc>
        <w:tc>
          <w:tcPr>
            <w:tcW w:w="2286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开通</w:t>
            </w:r>
          </w:p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未开通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9" w:hRule="atLeast"/>
        </w:trPr>
        <w:tc>
          <w:tcPr>
            <w:tcW w:w="192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TA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业务类型（可多选）</w:t>
            </w:r>
          </w:p>
        </w:tc>
        <w:tc>
          <w:tcPr>
            <w:tcW w:w="7074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□公募基金自建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TA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□公募基金外包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TA</w:t>
            </w:r>
          </w:p>
          <w:p>
            <w:pPr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□私募基金自建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TA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□私募基金外包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8999" w:type="dxa"/>
            <w:gridSpan w:val="4"/>
            <w:shd w:val="clear" w:color="auto" w:fill="D7D7D7" w:themeFill="background1" w:themeFillShade="D8"/>
            <w:vAlign w:val="center"/>
          </w:tcPr>
          <w:p>
            <w:pPr>
              <w:pStyle w:val="21"/>
              <w:jc w:val="both"/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  <w:t>其他事项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89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基金份额登记机构承诺以下事项：</w:t>
            </w:r>
          </w:p>
          <w:p>
            <w:pPr>
              <w:jc w:val="both"/>
              <w:rPr>
                <w:rFonts w:hint="default" w:ascii="仿宋" w:hAnsi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hAnsi="楷体_GB2312" w:cs="楷体_GB2312"/>
                <w:sz w:val="28"/>
                <w:szCs w:val="28"/>
                <w:lang w:val="en-US" w:eastAsia="zh-CN"/>
              </w:rPr>
              <w:t xml:space="preserve">   </w:t>
            </w:r>
            <w:bookmarkStart w:id="21" w:name="_GoBack"/>
            <w:bookmarkEnd w:id="21"/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我司已确认本次测试使用的测试环境与生产环境完全隔离，相关测试数据均已脱敏且仅供本次测试使用。因使用未脱敏数据导致的一切后果与责任，由我司自行承担。</w:t>
            </w:r>
          </w:p>
          <w:p>
            <w:pPr>
              <w:jc w:val="both"/>
              <w:rPr>
                <w:rFonts w:hint="eastAsia" w:hAnsi="楷体_GB2312" w:cs="楷体_GB2312"/>
                <w:sz w:val="28"/>
                <w:szCs w:val="28"/>
                <w:lang w:eastAsia="zh-CN"/>
              </w:rPr>
            </w:pPr>
          </w:p>
        </w:tc>
      </w:tr>
    </w:tbl>
    <w:p>
      <w:pPr>
        <w:pStyle w:val="2"/>
        <w:keepNext/>
        <w:keepLines/>
        <w:pageBreakBefore/>
        <w:widowControl w:val="0"/>
        <w:numPr>
          <w:ilvl w:val="0"/>
          <w:numId w:val="0"/>
        </w:numPr>
        <w:tabs>
          <w:tab w:val="left" w:pos="420"/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20" w:name="_Toc12109"/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End w:id="20"/>
    </w:p>
    <w:p>
      <w:pPr>
        <w:pStyle w:val="3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textAlignment w:val="auto"/>
        <w:outlineLvl w:val="9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《基金行业数据集中备份接口规范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V2.2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》</w:t>
      </w:r>
    </w:p>
    <w:p>
      <w:pPr>
        <w:pStyle w:val="33"/>
        <w:spacing w:beforeLines="0" w:afterLines="0"/>
        <w:outlineLvl w:val="9"/>
        <w:rPr>
          <w:rFonts w:ascii="CG Times" w:hAnsi="CG Times" w:eastAsia="楷体_GB2312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测试报告</w:t>
      </w:r>
    </w:p>
    <w:p>
      <w:pPr>
        <w:jc w:val="center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                  填表日期：   </w:t>
      </w:r>
    </w:p>
    <w:tbl>
      <w:tblPr>
        <w:tblStyle w:val="3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507"/>
        <w:gridCol w:w="1399"/>
        <w:gridCol w:w="1189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8999" w:type="dxa"/>
            <w:gridSpan w:val="5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65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机构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7347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65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sz w:val="28"/>
                <w:szCs w:val="28"/>
              </w:rPr>
              <w:t>TA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3507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default" w:ascii="Times New Roman" w:eastAsia="仿宋_GB2312"/>
                <w:b/>
                <w:sz w:val="28"/>
                <w:szCs w:val="28"/>
                <w:lang w:val="en-US" w:eastAsia="zh-CN"/>
              </w:rPr>
              <w:t>TA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Times New Roman" w:eastAsia="仿宋_GB2312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652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测试负责人</w:t>
            </w:r>
          </w:p>
        </w:tc>
        <w:tc>
          <w:tcPr>
            <w:tcW w:w="3507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441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652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测试日期</w:t>
            </w:r>
          </w:p>
        </w:tc>
        <w:tc>
          <w:tcPr>
            <w:tcW w:w="7347" w:type="dxa"/>
            <w:gridSpan w:val="4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日  至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65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数据接口</w:t>
            </w:r>
          </w:p>
        </w:tc>
        <w:tc>
          <w:tcPr>
            <w:tcW w:w="7347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基金行业数据集中备份接口规范</w:t>
            </w:r>
            <w:r>
              <w:rPr>
                <w:rFonts w:hint="default" w:ascii="Times New Roman" w:eastAsia="仿宋_GB2312"/>
                <w:sz w:val="28"/>
                <w:szCs w:val="28"/>
                <w:lang w:eastAsia="zh-CN"/>
              </w:rPr>
              <w:t>V2.2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99" w:type="dxa"/>
            <w:gridSpan w:val="5"/>
            <w:shd w:val="clear" w:color="auto" w:fill="D7D7D7" w:themeFill="background1" w:themeFillShade="D8"/>
            <w:vAlign w:val="center"/>
          </w:tcPr>
          <w:p>
            <w:pPr>
              <w:pStyle w:val="21"/>
              <w:jc w:val="center"/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  <w:t>备份接口测试情况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文件类型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文件名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测试情况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索引文件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OFI_gg_00_yyyymmdd.TXT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账户确认、账户对账（增量、全量）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OFD_gg_00_yyyymmdd_92.TXT(公募增量，账户确认)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OFD_gg_00_yyyymmdd_D2.TXT(公募增量，账户对账)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OFD_gg_00_yyyymmdd_Z2.TXT(私募增量，账户确认)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OFD_gg_00_yyyymmdd_U2.TXT(私募增量，账户对账)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OFD_gg_00_yyyymmdd_Q2.TXT(公募全量，账户对账)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OFD_gg_00_yyyymmdd_S2.TXT(私募全量，账户对账)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交易确认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OFD_gg_00_yyyymmdd_94.TXT(公募增量)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OFD_gg_00_yyyymmdd_Z4.TXT(私募增量)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份额对账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OFD_gg_00_yyyymmdd_95.TXT(公募增量)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OFD_gg_00_yyyymmdd_Z5.TXT(私募增量)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OFD_gg_00_yyyymmdd_Q5.TXT(公募全量)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OFD_gg_00_yyyymmdd_S5.TXT(私募全量)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分红信息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OFD_gg_00_yyyymmdd_96.TXT(公募增量)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OFD_gg_00_yyyymmdd_Z6.TXT(私募增量)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基金TA参数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OFD_gg_00_yyyymmdd_T1.TXT(公募全量)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OFD_gg_00_yyyymmdd_TM.TXT(私募全量)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基金运作信息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OFD_gg_00_yyyymmdd_T2.TXT(公募全量)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OFD_gg_00_yyyymmdd_TN.TXT(私募全量)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个人反洗钱信息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OFD_gg_00_yyyymmdd_X1.TXT(公募增量)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OFD_gg_00_yyyymmdd_XA.TXT(私募增量)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OFD_gg_00_yyyymmdd_X6.TXT(公募全量)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OFD_gg_00_yyyymmdd_XB.TXT(私募全量)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restart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机构反洗钱信息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OFD_gg_00_yyyymmdd_X3.TXT(公募增量)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OFD_gg_00_yyyymmdd_XC.TXT(私募增量)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OFD_gg_00_yyyymmdd_X8.TXT(公募全量)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652" w:type="dxa"/>
            <w:vMerge w:val="continue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>
            <w:pPr>
              <w:pStyle w:val="21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OFD_gg_00_yyyymmdd_XD.TXT(私募全量)</w:t>
            </w:r>
          </w:p>
        </w:tc>
        <w:tc>
          <w:tcPr>
            <w:tcW w:w="1252" w:type="dxa"/>
            <w:shd w:val="clear" w:color="auto" w:fill="auto"/>
            <w:vAlign w:val="top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7747" w:type="dxa"/>
            <w:gridSpan w:val="4"/>
            <w:shd w:val="clear" w:color="auto" w:fill="auto"/>
            <w:vAlign w:val="center"/>
          </w:tcPr>
          <w:p>
            <w:pPr>
              <w:pStyle w:val="21"/>
              <w:jc w:val="both"/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已与中数平台确认，每日参测文件均已验证通过。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1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99" w:type="dxa"/>
            <w:gridSpan w:val="5"/>
            <w:shd w:val="clear" w:color="auto" w:fill="D7D7D7" w:themeFill="background1" w:themeFillShade="D8"/>
            <w:vAlign w:val="center"/>
          </w:tcPr>
          <w:p>
            <w:pPr>
              <w:pStyle w:val="21"/>
              <w:jc w:val="center"/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  <w:lang w:eastAsia="zh-CN"/>
              </w:rPr>
              <w:t>其他问题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899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包括测试发现的异常以及其它信息，如无可置空。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8999" w:type="dxa"/>
            <w:gridSpan w:val="5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/>
                <w:bCs w:val="0"/>
                <w:sz w:val="28"/>
                <w:szCs w:val="28"/>
                <w:lang w:eastAsia="zh-CN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8999" w:type="dxa"/>
            <w:gridSpan w:val="5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基金份额登记机构承诺以下事项：</w:t>
            </w:r>
          </w:p>
          <w:p>
            <w:pPr>
              <w:numPr>
                <w:ilvl w:val="0"/>
                <w:numId w:val="4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以上所填属实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，且我司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val="en-US" w:eastAsia="zh-CN"/>
              </w:rPr>
              <w:t>TA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登记系统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val="en-US" w:eastAsia="zh-CN"/>
              </w:rPr>
              <w:t>(包括子系统)均已参与并通过上述测试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                  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2、我司已充分了解相关业务操作和工作机制。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、我司已确认本次测试使用的测试环境与生产环境完全隔离，相关测试数据均已脱敏且仅供本次测试使用。因使用未脱敏数据导致的一切后果与责任，由我司自行承担。</w:t>
            </w:r>
          </w:p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958" w:firstLine="5040" w:firstLineChars="2100"/>
        <w:textAlignment w:val="auto"/>
        <w:outlineLvl w:val="9"/>
        <w:rPr>
          <w:rFonts w:hint="eastAsia" w:ascii="仿宋" w:hAnsi="仿宋" w:cs="仿宋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958" w:firstLine="5040" w:firstLineChars="2100"/>
        <w:textAlignment w:val="auto"/>
        <w:outlineLvl w:val="9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cs="仿宋"/>
          <w:sz w:val="24"/>
          <w:lang w:eastAsia="zh-CN"/>
        </w:rPr>
        <w:t>基金份额登记</w:t>
      </w:r>
      <w:r>
        <w:rPr>
          <w:rFonts w:hint="eastAsia" w:ascii="仿宋" w:hAnsi="仿宋" w:eastAsia="仿宋" w:cs="仿宋"/>
          <w:sz w:val="24"/>
          <w:lang w:eastAsia="zh-CN"/>
        </w:rPr>
        <w:t>机构：</w:t>
      </w:r>
      <w:r>
        <w:rPr>
          <w:rFonts w:hint="eastAsia" w:ascii="仿宋" w:hAnsi="仿宋" w:eastAsia="仿宋" w:cs="仿宋"/>
          <w:sz w:val="24"/>
        </w:rPr>
        <w:t xml:space="preserve">  </w:t>
      </w:r>
    </w:p>
    <w:p>
      <w:pPr>
        <w:ind w:right="960"/>
        <w:outlineLvl w:val="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</w:t>
      </w:r>
      <w:r>
        <w:rPr>
          <w:rFonts w:hint="eastAsia" w:ascii="仿宋_GB2312" w:eastAsia="仿宋_GB2312"/>
          <w:sz w:val="24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4"/>
        </w:rPr>
        <w:t xml:space="preserve">      </w:t>
      </w:r>
    </w:p>
    <w:p>
      <w:pPr>
        <w:ind w:right="960"/>
        <w:outlineLvl w:val="0"/>
        <w:rPr>
          <w:rFonts w:hint="eastAsia" w:ascii="仿宋_GB2312" w:eastAsia="仿宋_GB2312"/>
          <w:sz w:val="24"/>
        </w:rPr>
      </w:pPr>
    </w:p>
    <w:p>
      <w:pPr>
        <w:widowControl/>
        <w:wordWrap w:val="0"/>
        <w:jc w:val="both"/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</w:t>
      </w:r>
      <w:r>
        <w:rPr>
          <w:rFonts w:hint="eastAsia" w:ascii="仿宋" w:hAnsi="仿宋" w:cs="仿宋"/>
          <w:sz w:val="24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4"/>
        </w:rPr>
        <w:t>公司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</w:t>
      </w:r>
      <w:r>
        <w:rPr>
          <w:rFonts w:hint="eastAsia" w:ascii="仿宋" w:hAnsi="仿宋" w:cs="仿宋"/>
          <w:sz w:val="24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</w:t>
      </w:r>
      <w:r>
        <w:rPr>
          <w:rFonts w:hint="eastAsia" w:ascii="仿宋" w:hAnsi="仿宋" w:cs="仿宋"/>
          <w:sz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</w:rPr>
        <w:t>（盖章）</w:t>
      </w:r>
    </w:p>
    <w:sectPr>
      <w:headerReference r:id="rId6" w:type="default"/>
      <w:footerReference r:id="rId7" w:type="default"/>
      <w:pgSz w:w="11907" w:h="16840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keepNext w:val="0"/>
      <w:keepLines w:val="0"/>
      <w:pageBreakBefore w:val="0"/>
      <w:widowControl w:val="0"/>
      <w:pBdr>
        <w:top w:val="none" w:color="auto" w:sz="0" w:space="2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tabs>
        <w:tab w:val="clear" w:pos="4153"/>
        <w:tab w:val="clear" w:pos="8306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Lines="150" w:beforeAutospacing="0"/>
      <w:jc w:val="left"/>
      <w:textAlignment w:val="baseline"/>
      <w:rPr>
        <w:rFonts w:hint="eastAsia" w:eastAsia="仿宋"/>
        <w:sz w:val="24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pBdr>
        <w:top w:val="double" w:color="auto" w:sz="4" w:space="2"/>
      </w:pBdr>
      <w:adjustRightInd w:val="0"/>
      <w:rPr>
        <w:sz w:val="24"/>
      </w:rPr>
    </w:pPr>
    <w:r>
      <w:rPr>
        <w:rFonts w:hint="eastAsia"/>
        <w:sz w:val="24"/>
      </w:rPr>
      <w:t>基金行业数据集中备份接口规范V2.2版本升级测试方案</w:t>
    </w:r>
    <w:r>
      <w:rPr>
        <w:rFonts w:hint="eastAsia"/>
        <w:sz w:val="24"/>
        <w:lang w:val="en-US" w:eastAsia="zh-CN"/>
      </w:rPr>
      <w:t xml:space="preserve"> </w:t>
    </w:r>
    <w:r>
      <w:rPr>
        <w:rFonts w:hint="eastAsia"/>
        <w:sz w:val="24"/>
      </w:rPr>
      <w:t xml:space="preserve">     </w:t>
    </w:r>
    <w:r>
      <w:rPr>
        <w:rFonts w:hint="eastAsia"/>
        <w:sz w:val="24"/>
        <w:lang w:val="en-US" w:eastAsia="zh-CN"/>
      </w:rPr>
      <w:t xml:space="preserve">      </w:t>
    </w:r>
    <w:r>
      <w:rPr>
        <w:rFonts w:hint="eastAsia"/>
        <w:sz w:val="24"/>
      </w:rPr>
      <w:t>202</w:t>
    </w:r>
    <w:r>
      <w:rPr>
        <w:rFonts w:hint="eastAsia"/>
        <w:sz w:val="24"/>
        <w:lang w:val="en-US" w:eastAsia="zh-CN"/>
      </w:rPr>
      <w:t>4</w:t>
    </w:r>
    <w:r>
      <w:rPr>
        <w:rFonts w:hint="eastAsia"/>
        <w:sz w:val="24"/>
      </w:rPr>
      <w:t>年</w:t>
    </w:r>
    <w:r>
      <w:rPr>
        <w:rFonts w:hint="eastAsia"/>
        <w:sz w:val="24"/>
        <w:lang w:val="en-US" w:eastAsia="zh-CN"/>
      </w:rPr>
      <w:t>3</w:t>
    </w:r>
    <w:r>
      <w:rPr>
        <w:rFonts w:hint="eastAsia"/>
        <w:sz w:val="24"/>
      </w:rPr>
      <w:t>月制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pBdr>
        <w:bottom w:val="thinThickSmallGap" w:color="auto" w:sz="24" w:space="4"/>
      </w:pBdr>
      <w:tabs>
        <w:tab w:val="center" w:pos="3500"/>
        <w:tab w:val="right" w:pos="5880"/>
        <w:tab w:val="clear" w:pos="4153"/>
        <w:tab w:val="clear" w:pos="8306"/>
      </w:tabs>
      <w:jc w:val="both"/>
    </w:pPr>
    <w:r>
      <w:object>
        <v:shape id="_x0000_i1025" o:spt="75" type="#_x0000_t75" style="height:17.25pt;width:16.5pt;" o:ole="t" fillcolor="#FFFFFF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PBrush" ShapeID="_x0000_i1025" DrawAspect="Content" ObjectID="_1468075725" r:id="rId1">
          <o:LockedField>false</o:LockedField>
        </o:OLEObject>
      </w:object>
    </w:r>
    <w:r>
      <w:rPr>
        <w:rFonts w:hint="eastAsia"/>
      </w:rPr>
      <w:t>中国证券登记结算有限责任公司</w:t>
    </w:r>
    <w:r>
      <w:rPr>
        <w:rFonts w:hint="eastAsia"/>
        <w:b/>
        <w:sz w:val="32"/>
      </w:rPr>
      <w:t xml:space="preserve">      </w:t>
    </w:r>
    <w:r>
      <w:rPr>
        <w:rFonts w:hint="eastAsia" w:eastAsia="隶书"/>
        <w:sz w:val="24"/>
      </w:rPr>
      <w:t xml:space="preserve">    工程技术文档</w:t>
    </w:r>
    <w:r>
      <w:rPr>
        <w:rFonts w:hint="eastAsia"/>
      </w:rPr>
      <w:t xml:space="preserve">                          目录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pBdr>
        <w:bottom w:val="thinThickSmallGap" w:color="auto" w:sz="24" w:space="4"/>
      </w:pBdr>
      <w:tabs>
        <w:tab w:val="center" w:pos="3500"/>
        <w:tab w:val="right" w:pos="5880"/>
        <w:tab w:val="clear" w:pos="4153"/>
        <w:tab w:val="clear" w:pos="8306"/>
      </w:tabs>
      <w:jc w:val="both"/>
    </w:pPr>
  </w:p>
  <w:p>
    <w:pPr>
      <w:pStyle w:val="25"/>
      <w:pBdr>
        <w:bottom w:val="thinThickSmallGap" w:color="auto" w:sz="24" w:space="4"/>
      </w:pBdr>
      <w:tabs>
        <w:tab w:val="center" w:pos="3500"/>
        <w:tab w:val="right" w:pos="5880"/>
        <w:tab w:val="clear" w:pos="4153"/>
        <w:tab w:val="clear" w:pos="8306"/>
      </w:tabs>
      <w:jc w:val="both"/>
      <w:rPr>
        <w:rFonts w:hint="default" w:eastAsia="仿宋"/>
        <w:lang w:val="en-US" w:eastAsia="zh-CN"/>
      </w:rPr>
    </w:pPr>
    <w:r>
      <w:rPr>
        <w:rFonts w:hint="eastAsia"/>
      </w:rPr>
      <w:t>中国证券登记结算有限责任公司</w:t>
    </w:r>
    <w:r>
      <w:rPr>
        <w:rFonts w:hint="eastAsia"/>
        <w:b/>
        <w:sz w:val="32"/>
      </w:rPr>
      <w:t xml:space="preserve">      </w:t>
    </w:r>
    <w:r>
      <w:rPr>
        <w:rFonts w:hint="eastAsia" w:eastAsia="隶书"/>
        <w:sz w:val="24"/>
      </w:rPr>
      <w:t xml:space="preserve">  工程技术文档</w:t>
    </w:r>
    <w:r>
      <w:rPr>
        <w:rFonts w:hint="eastAsia"/>
      </w:rPr>
      <w:t xml:space="preserve">                     </w:t>
    </w:r>
    <w:r>
      <w:rPr>
        <w:rFonts w:hint="eastAsia"/>
        <w:lang w:val="en-US" w:eastAsia="zh-CN"/>
      </w:rPr>
      <w:t xml:space="preserve"> </w:t>
    </w:r>
    <w:r>
      <w:rPr>
        <w:rFonts w:hint="eastAsia"/>
      </w:rPr>
      <w:t>第</w:t>
    </w:r>
    <w:r>
      <w:t xml:space="preserve"> </w:t>
    </w:r>
    <w:r>
      <w:fldChar w:fldCharType="begin"/>
    </w:r>
    <w:r>
      <w:instrText xml:space="preserve"> PAGE </w:instrText>
    </w:r>
    <w:r>
      <w:fldChar w:fldCharType="separate"/>
    </w:r>
    <w:r>
      <w:t>10</w:t>
    </w:r>
    <w:r>
      <w:fldChar w:fldCharType="end"/>
    </w:r>
    <w:r>
      <w:t xml:space="preserve"> </w:t>
    </w:r>
    <w:r>
      <w:rPr>
        <w:rFonts w:hint="eastAsia"/>
      </w:rPr>
      <w:t>页</w:t>
    </w:r>
    <w:r>
      <w:rPr>
        <w:rFonts w:hint="eastAsia"/>
        <w:lang w:val="en-US" w:eastAsia="zh-CN"/>
      </w:rPr>
      <w:t xml:space="preserve"> 共10页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6D2400"/>
    <w:multiLevelType w:val="singleLevel"/>
    <w:tmpl w:val="A06D24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B112763"/>
    <w:multiLevelType w:val="singleLevel"/>
    <w:tmpl w:val="CB11276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093CDB7"/>
    <w:multiLevelType w:val="singleLevel"/>
    <w:tmpl w:val="F093CDB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176D65BD"/>
    <w:multiLevelType w:val="multilevel"/>
    <w:tmpl w:val="176D65BD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4"/>
  <w:drawingGridHorizontalSpacing w:val="32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E5E65"/>
    <w:rsid w:val="0000034A"/>
    <w:rsid w:val="0000273F"/>
    <w:rsid w:val="000037C8"/>
    <w:rsid w:val="0000673E"/>
    <w:rsid w:val="0000738F"/>
    <w:rsid w:val="000119DA"/>
    <w:rsid w:val="00012436"/>
    <w:rsid w:val="00013892"/>
    <w:rsid w:val="0001520D"/>
    <w:rsid w:val="00015A94"/>
    <w:rsid w:val="0002100C"/>
    <w:rsid w:val="0002105F"/>
    <w:rsid w:val="00022053"/>
    <w:rsid w:val="00022600"/>
    <w:rsid w:val="00022ADE"/>
    <w:rsid w:val="000231BD"/>
    <w:rsid w:val="00023A17"/>
    <w:rsid w:val="00023BF7"/>
    <w:rsid w:val="000250CA"/>
    <w:rsid w:val="000253B0"/>
    <w:rsid w:val="000305D1"/>
    <w:rsid w:val="00030836"/>
    <w:rsid w:val="00031FB7"/>
    <w:rsid w:val="00033159"/>
    <w:rsid w:val="000332EF"/>
    <w:rsid w:val="000336AF"/>
    <w:rsid w:val="000344ED"/>
    <w:rsid w:val="000357F8"/>
    <w:rsid w:val="000372DF"/>
    <w:rsid w:val="00037B32"/>
    <w:rsid w:val="00037FF6"/>
    <w:rsid w:val="00040885"/>
    <w:rsid w:val="00040EEF"/>
    <w:rsid w:val="000425CD"/>
    <w:rsid w:val="000436FE"/>
    <w:rsid w:val="00043B16"/>
    <w:rsid w:val="0004409A"/>
    <w:rsid w:val="00044427"/>
    <w:rsid w:val="00047CB1"/>
    <w:rsid w:val="00050618"/>
    <w:rsid w:val="00051360"/>
    <w:rsid w:val="00052145"/>
    <w:rsid w:val="000522C4"/>
    <w:rsid w:val="00052A78"/>
    <w:rsid w:val="000559BC"/>
    <w:rsid w:val="00056D2F"/>
    <w:rsid w:val="00056E97"/>
    <w:rsid w:val="00057AA5"/>
    <w:rsid w:val="00060F21"/>
    <w:rsid w:val="00061796"/>
    <w:rsid w:val="00061EFF"/>
    <w:rsid w:val="0006217D"/>
    <w:rsid w:val="0006305D"/>
    <w:rsid w:val="0006555B"/>
    <w:rsid w:val="00070459"/>
    <w:rsid w:val="00072725"/>
    <w:rsid w:val="00073021"/>
    <w:rsid w:val="00074CF0"/>
    <w:rsid w:val="00076E52"/>
    <w:rsid w:val="0007706C"/>
    <w:rsid w:val="00077A29"/>
    <w:rsid w:val="00081DFC"/>
    <w:rsid w:val="000823B9"/>
    <w:rsid w:val="00091023"/>
    <w:rsid w:val="0009399B"/>
    <w:rsid w:val="00093AD8"/>
    <w:rsid w:val="000955DD"/>
    <w:rsid w:val="00096947"/>
    <w:rsid w:val="00097067"/>
    <w:rsid w:val="00097490"/>
    <w:rsid w:val="00097B55"/>
    <w:rsid w:val="000A09FC"/>
    <w:rsid w:val="000A1373"/>
    <w:rsid w:val="000A2735"/>
    <w:rsid w:val="000A3FB7"/>
    <w:rsid w:val="000A5E9B"/>
    <w:rsid w:val="000A6400"/>
    <w:rsid w:val="000A6494"/>
    <w:rsid w:val="000A66B9"/>
    <w:rsid w:val="000A6F01"/>
    <w:rsid w:val="000A7155"/>
    <w:rsid w:val="000A765C"/>
    <w:rsid w:val="000B28EA"/>
    <w:rsid w:val="000B2D16"/>
    <w:rsid w:val="000B2D2E"/>
    <w:rsid w:val="000B72AD"/>
    <w:rsid w:val="000B7A46"/>
    <w:rsid w:val="000C1562"/>
    <w:rsid w:val="000C5653"/>
    <w:rsid w:val="000C57E5"/>
    <w:rsid w:val="000C58E2"/>
    <w:rsid w:val="000C6467"/>
    <w:rsid w:val="000C7D3E"/>
    <w:rsid w:val="000D18D8"/>
    <w:rsid w:val="000D1ECF"/>
    <w:rsid w:val="000D2907"/>
    <w:rsid w:val="000D358B"/>
    <w:rsid w:val="000D36CF"/>
    <w:rsid w:val="000D443C"/>
    <w:rsid w:val="000D65BA"/>
    <w:rsid w:val="000E13CD"/>
    <w:rsid w:val="000E1D8F"/>
    <w:rsid w:val="000E2E65"/>
    <w:rsid w:val="000E30CB"/>
    <w:rsid w:val="000E3589"/>
    <w:rsid w:val="000E3760"/>
    <w:rsid w:val="000E3C29"/>
    <w:rsid w:val="000E4C28"/>
    <w:rsid w:val="000F08C5"/>
    <w:rsid w:val="000F1B87"/>
    <w:rsid w:val="000F2E3A"/>
    <w:rsid w:val="000F34A6"/>
    <w:rsid w:val="000F3BF7"/>
    <w:rsid w:val="000F6407"/>
    <w:rsid w:val="000F6EC5"/>
    <w:rsid w:val="000F7A37"/>
    <w:rsid w:val="001037B6"/>
    <w:rsid w:val="00104B60"/>
    <w:rsid w:val="001050E2"/>
    <w:rsid w:val="001077EE"/>
    <w:rsid w:val="0011072D"/>
    <w:rsid w:val="00110E8E"/>
    <w:rsid w:val="00111118"/>
    <w:rsid w:val="001119F5"/>
    <w:rsid w:val="00111EDB"/>
    <w:rsid w:val="00112FED"/>
    <w:rsid w:val="00114927"/>
    <w:rsid w:val="00114D2C"/>
    <w:rsid w:val="00115B79"/>
    <w:rsid w:val="00116894"/>
    <w:rsid w:val="00117DA2"/>
    <w:rsid w:val="0012212F"/>
    <w:rsid w:val="00122158"/>
    <w:rsid w:val="00122AF5"/>
    <w:rsid w:val="00124713"/>
    <w:rsid w:val="00124CFD"/>
    <w:rsid w:val="00127346"/>
    <w:rsid w:val="00127E69"/>
    <w:rsid w:val="00133442"/>
    <w:rsid w:val="00134C5A"/>
    <w:rsid w:val="00134D99"/>
    <w:rsid w:val="0014081C"/>
    <w:rsid w:val="00140CB9"/>
    <w:rsid w:val="0014574A"/>
    <w:rsid w:val="00146700"/>
    <w:rsid w:val="00147090"/>
    <w:rsid w:val="00147555"/>
    <w:rsid w:val="00147A0C"/>
    <w:rsid w:val="00153226"/>
    <w:rsid w:val="0015525A"/>
    <w:rsid w:val="0015541F"/>
    <w:rsid w:val="00156393"/>
    <w:rsid w:val="00156F71"/>
    <w:rsid w:val="00160211"/>
    <w:rsid w:val="00160512"/>
    <w:rsid w:val="00161C15"/>
    <w:rsid w:val="001634FB"/>
    <w:rsid w:val="001636E4"/>
    <w:rsid w:val="00164507"/>
    <w:rsid w:val="00164C36"/>
    <w:rsid w:val="00164CAB"/>
    <w:rsid w:val="00165A34"/>
    <w:rsid w:val="0017430B"/>
    <w:rsid w:val="00174330"/>
    <w:rsid w:val="001748A6"/>
    <w:rsid w:val="0017567A"/>
    <w:rsid w:val="001758FC"/>
    <w:rsid w:val="00176BAB"/>
    <w:rsid w:val="00176BF0"/>
    <w:rsid w:val="00177588"/>
    <w:rsid w:val="00180BA7"/>
    <w:rsid w:val="00181D8D"/>
    <w:rsid w:val="001832EA"/>
    <w:rsid w:val="00183439"/>
    <w:rsid w:val="00183CC1"/>
    <w:rsid w:val="00186979"/>
    <w:rsid w:val="001873BC"/>
    <w:rsid w:val="001878C2"/>
    <w:rsid w:val="00187B57"/>
    <w:rsid w:val="001918FC"/>
    <w:rsid w:val="001956D2"/>
    <w:rsid w:val="001963ED"/>
    <w:rsid w:val="001A0A01"/>
    <w:rsid w:val="001A0ADC"/>
    <w:rsid w:val="001A1430"/>
    <w:rsid w:val="001A252C"/>
    <w:rsid w:val="001A26F9"/>
    <w:rsid w:val="001A3128"/>
    <w:rsid w:val="001A6286"/>
    <w:rsid w:val="001A6F25"/>
    <w:rsid w:val="001A70F3"/>
    <w:rsid w:val="001B0BAE"/>
    <w:rsid w:val="001B1AEA"/>
    <w:rsid w:val="001B56BA"/>
    <w:rsid w:val="001B56F3"/>
    <w:rsid w:val="001B6479"/>
    <w:rsid w:val="001B69F1"/>
    <w:rsid w:val="001B7086"/>
    <w:rsid w:val="001B7D77"/>
    <w:rsid w:val="001C03D9"/>
    <w:rsid w:val="001C2C76"/>
    <w:rsid w:val="001C3273"/>
    <w:rsid w:val="001C3C02"/>
    <w:rsid w:val="001D1D46"/>
    <w:rsid w:val="001D3ABA"/>
    <w:rsid w:val="001D3CCA"/>
    <w:rsid w:val="001D3E4C"/>
    <w:rsid w:val="001D498C"/>
    <w:rsid w:val="001D5991"/>
    <w:rsid w:val="001D5E10"/>
    <w:rsid w:val="001D6984"/>
    <w:rsid w:val="001D6C31"/>
    <w:rsid w:val="001E1303"/>
    <w:rsid w:val="001E1B17"/>
    <w:rsid w:val="001E2F53"/>
    <w:rsid w:val="001E43B3"/>
    <w:rsid w:val="001E45EF"/>
    <w:rsid w:val="001E5194"/>
    <w:rsid w:val="001E6D59"/>
    <w:rsid w:val="001E7AC5"/>
    <w:rsid w:val="001E7F79"/>
    <w:rsid w:val="001F0309"/>
    <w:rsid w:val="001F17FE"/>
    <w:rsid w:val="001F5433"/>
    <w:rsid w:val="001F5694"/>
    <w:rsid w:val="001F5728"/>
    <w:rsid w:val="001F588D"/>
    <w:rsid w:val="001F5AD1"/>
    <w:rsid w:val="001F5E8F"/>
    <w:rsid w:val="001F5F68"/>
    <w:rsid w:val="001F718F"/>
    <w:rsid w:val="00201969"/>
    <w:rsid w:val="002029A1"/>
    <w:rsid w:val="00203752"/>
    <w:rsid w:val="00207B50"/>
    <w:rsid w:val="002109E9"/>
    <w:rsid w:val="00210F1A"/>
    <w:rsid w:val="002111BE"/>
    <w:rsid w:val="00211683"/>
    <w:rsid w:val="002146BA"/>
    <w:rsid w:val="0021524C"/>
    <w:rsid w:val="002162B4"/>
    <w:rsid w:val="002177D3"/>
    <w:rsid w:val="00221FAB"/>
    <w:rsid w:val="0022493F"/>
    <w:rsid w:val="0022667F"/>
    <w:rsid w:val="00230403"/>
    <w:rsid w:val="00231077"/>
    <w:rsid w:val="00231EBA"/>
    <w:rsid w:val="00232299"/>
    <w:rsid w:val="002323B9"/>
    <w:rsid w:val="00233883"/>
    <w:rsid w:val="00233C72"/>
    <w:rsid w:val="00234DC1"/>
    <w:rsid w:val="00235C42"/>
    <w:rsid w:val="0023769D"/>
    <w:rsid w:val="00237825"/>
    <w:rsid w:val="00241433"/>
    <w:rsid w:val="00241759"/>
    <w:rsid w:val="00245B38"/>
    <w:rsid w:val="0024745D"/>
    <w:rsid w:val="00247DC0"/>
    <w:rsid w:val="00250035"/>
    <w:rsid w:val="00251163"/>
    <w:rsid w:val="0025163B"/>
    <w:rsid w:val="002524BB"/>
    <w:rsid w:val="00253877"/>
    <w:rsid w:val="00253DE6"/>
    <w:rsid w:val="00255B3C"/>
    <w:rsid w:val="00255FD0"/>
    <w:rsid w:val="00257275"/>
    <w:rsid w:val="0026011F"/>
    <w:rsid w:val="0026046A"/>
    <w:rsid w:val="00261554"/>
    <w:rsid w:val="002627A6"/>
    <w:rsid w:val="00262B1E"/>
    <w:rsid w:val="002636AA"/>
    <w:rsid w:val="00263776"/>
    <w:rsid w:val="00263F43"/>
    <w:rsid w:val="00264610"/>
    <w:rsid w:val="00264F52"/>
    <w:rsid w:val="002663C1"/>
    <w:rsid w:val="00266874"/>
    <w:rsid w:val="0026694E"/>
    <w:rsid w:val="00266C3D"/>
    <w:rsid w:val="00267483"/>
    <w:rsid w:val="00270F20"/>
    <w:rsid w:val="00271B22"/>
    <w:rsid w:val="00271EFB"/>
    <w:rsid w:val="00275B1C"/>
    <w:rsid w:val="00281D6C"/>
    <w:rsid w:val="002824BE"/>
    <w:rsid w:val="002845CC"/>
    <w:rsid w:val="00284D4C"/>
    <w:rsid w:val="00286D44"/>
    <w:rsid w:val="002900F2"/>
    <w:rsid w:val="0029097B"/>
    <w:rsid w:val="002911CE"/>
    <w:rsid w:val="00291816"/>
    <w:rsid w:val="00295526"/>
    <w:rsid w:val="0029566D"/>
    <w:rsid w:val="002A0AE7"/>
    <w:rsid w:val="002A1B6C"/>
    <w:rsid w:val="002A22F8"/>
    <w:rsid w:val="002A37F1"/>
    <w:rsid w:val="002A3823"/>
    <w:rsid w:val="002A4436"/>
    <w:rsid w:val="002A5033"/>
    <w:rsid w:val="002A5BBD"/>
    <w:rsid w:val="002A64D7"/>
    <w:rsid w:val="002A6D65"/>
    <w:rsid w:val="002A7E64"/>
    <w:rsid w:val="002A7E9D"/>
    <w:rsid w:val="002B1DF5"/>
    <w:rsid w:val="002B29A8"/>
    <w:rsid w:val="002B5676"/>
    <w:rsid w:val="002B5DC1"/>
    <w:rsid w:val="002B5FB2"/>
    <w:rsid w:val="002B60E9"/>
    <w:rsid w:val="002B65B9"/>
    <w:rsid w:val="002B7C5B"/>
    <w:rsid w:val="002C2652"/>
    <w:rsid w:val="002C2834"/>
    <w:rsid w:val="002C31A1"/>
    <w:rsid w:val="002C3531"/>
    <w:rsid w:val="002C37C4"/>
    <w:rsid w:val="002C37C8"/>
    <w:rsid w:val="002C3CC9"/>
    <w:rsid w:val="002C4014"/>
    <w:rsid w:val="002C7124"/>
    <w:rsid w:val="002D190A"/>
    <w:rsid w:val="002D216F"/>
    <w:rsid w:val="002D3688"/>
    <w:rsid w:val="002D74F3"/>
    <w:rsid w:val="002D77AE"/>
    <w:rsid w:val="002E0DD2"/>
    <w:rsid w:val="002E2CC8"/>
    <w:rsid w:val="002E30CF"/>
    <w:rsid w:val="002E4E58"/>
    <w:rsid w:val="002E5245"/>
    <w:rsid w:val="002E5290"/>
    <w:rsid w:val="002E575C"/>
    <w:rsid w:val="002E57DE"/>
    <w:rsid w:val="002E649E"/>
    <w:rsid w:val="002E7A1E"/>
    <w:rsid w:val="002F067D"/>
    <w:rsid w:val="002F08E7"/>
    <w:rsid w:val="002F1460"/>
    <w:rsid w:val="002F2128"/>
    <w:rsid w:val="002F2667"/>
    <w:rsid w:val="002F3515"/>
    <w:rsid w:val="002F7A2F"/>
    <w:rsid w:val="0030008D"/>
    <w:rsid w:val="00300F31"/>
    <w:rsid w:val="00301A71"/>
    <w:rsid w:val="00303A56"/>
    <w:rsid w:val="00303B43"/>
    <w:rsid w:val="00304CFA"/>
    <w:rsid w:val="00307E18"/>
    <w:rsid w:val="003101BB"/>
    <w:rsid w:val="00310D9E"/>
    <w:rsid w:val="003112BA"/>
    <w:rsid w:val="00311494"/>
    <w:rsid w:val="00311CB7"/>
    <w:rsid w:val="00311D6A"/>
    <w:rsid w:val="00312666"/>
    <w:rsid w:val="00312720"/>
    <w:rsid w:val="00312EBD"/>
    <w:rsid w:val="00313AB6"/>
    <w:rsid w:val="00315255"/>
    <w:rsid w:val="00320C80"/>
    <w:rsid w:val="00320D40"/>
    <w:rsid w:val="00321433"/>
    <w:rsid w:val="003233A5"/>
    <w:rsid w:val="003235A0"/>
    <w:rsid w:val="00330656"/>
    <w:rsid w:val="00331DBE"/>
    <w:rsid w:val="003323C8"/>
    <w:rsid w:val="003331B5"/>
    <w:rsid w:val="0033403A"/>
    <w:rsid w:val="00336068"/>
    <w:rsid w:val="003361D6"/>
    <w:rsid w:val="00336A91"/>
    <w:rsid w:val="00336AFA"/>
    <w:rsid w:val="003377EA"/>
    <w:rsid w:val="00337A9A"/>
    <w:rsid w:val="003408A1"/>
    <w:rsid w:val="00340D07"/>
    <w:rsid w:val="0034399F"/>
    <w:rsid w:val="003439A6"/>
    <w:rsid w:val="00346E24"/>
    <w:rsid w:val="0034733E"/>
    <w:rsid w:val="003477EA"/>
    <w:rsid w:val="00347EF4"/>
    <w:rsid w:val="00352A43"/>
    <w:rsid w:val="00352BC2"/>
    <w:rsid w:val="00353A51"/>
    <w:rsid w:val="00355604"/>
    <w:rsid w:val="00355C34"/>
    <w:rsid w:val="00355D40"/>
    <w:rsid w:val="003560E9"/>
    <w:rsid w:val="00357250"/>
    <w:rsid w:val="003575A8"/>
    <w:rsid w:val="00357D0D"/>
    <w:rsid w:val="0036090A"/>
    <w:rsid w:val="00361B6D"/>
    <w:rsid w:val="00362112"/>
    <w:rsid w:val="0036370A"/>
    <w:rsid w:val="00364897"/>
    <w:rsid w:val="0036690B"/>
    <w:rsid w:val="00367EAF"/>
    <w:rsid w:val="003700D1"/>
    <w:rsid w:val="0037034B"/>
    <w:rsid w:val="0037037D"/>
    <w:rsid w:val="00370559"/>
    <w:rsid w:val="003705E7"/>
    <w:rsid w:val="00371AD6"/>
    <w:rsid w:val="00371B30"/>
    <w:rsid w:val="003750E0"/>
    <w:rsid w:val="00380196"/>
    <w:rsid w:val="0038146D"/>
    <w:rsid w:val="00383D2D"/>
    <w:rsid w:val="003850B0"/>
    <w:rsid w:val="00386834"/>
    <w:rsid w:val="00386C38"/>
    <w:rsid w:val="00386FF1"/>
    <w:rsid w:val="00387CE9"/>
    <w:rsid w:val="00390412"/>
    <w:rsid w:val="0039177E"/>
    <w:rsid w:val="003922BF"/>
    <w:rsid w:val="00394720"/>
    <w:rsid w:val="0039626A"/>
    <w:rsid w:val="00397580"/>
    <w:rsid w:val="003A1358"/>
    <w:rsid w:val="003A15A2"/>
    <w:rsid w:val="003A5134"/>
    <w:rsid w:val="003A6740"/>
    <w:rsid w:val="003A6D8A"/>
    <w:rsid w:val="003B1333"/>
    <w:rsid w:val="003B1390"/>
    <w:rsid w:val="003B481B"/>
    <w:rsid w:val="003B4AB6"/>
    <w:rsid w:val="003B68D1"/>
    <w:rsid w:val="003C01AB"/>
    <w:rsid w:val="003C1380"/>
    <w:rsid w:val="003C245E"/>
    <w:rsid w:val="003C3C30"/>
    <w:rsid w:val="003C3F03"/>
    <w:rsid w:val="003C3F23"/>
    <w:rsid w:val="003C582E"/>
    <w:rsid w:val="003C5C35"/>
    <w:rsid w:val="003C66EE"/>
    <w:rsid w:val="003C6DB7"/>
    <w:rsid w:val="003D1B73"/>
    <w:rsid w:val="003D272A"/>
    <w:rsid w:val="003D52A4"/>
    <w:rsid w:val="003D5EAD"/>
    <w:rsid w:val="003D75DA"/>
    <w:rsid w:val="003E0923"/>
    <w:rsid w:val="003E0D9A"/>
    <w:rsid w:val="003E1C5B"/>
    <w:rsid w:val="003E2EC1"/>
    <w:rsid w:val="003E32A8"/>
    <w:rsid w:val="003E38B4"/>
    <w:rsid w:val="003E4025"/>
    <w:rsid w:val="003E444D"/>
    <w:rsid w:val="003E4A29"/>
    <w:rsid w:val="003E561A"/>
    <w:rsid w:val="003E58C9"/>
    <w:rsid w:val="003E6604"/>
    <w:rsid w:val="003E7127"/>
    <w:rsid w:val="003E729E"/>
    <w:rsid w:val="003E73ED"/>
    <w:rsid w:val="003F2397"/>
    <w:rsid w:val="003F2420"/>
    <w:rsid w:val="003F260D"/>
    <w:rsid w:val="003F285B"/>
    <w:rsid w:val="003F329A"/>
    <w:rsid w:val="003F4393"/>
    <w:rsid w:val="003F4518"/>
    <w:rsid w:val="003F5DBA"/>
    <w:rsid w:val="003F72B1"/>
    <w:rsid w:val="00401B0D"/>
    <w:rsid w:val="00401C72"/>
    <w:rsid w:val="0040283E"/>
    <w:rsid w:val="00403021"/>
    <w:rsid w:val="00403180"/>
    <w:rsid w:val="00403AB8"/>
    <w:rsid w:val="004048A9"/>
    <w:rsid w:val="00407DF8"/>
    <w:rsid w:val="004101A7"/>
    <w:rsid w:val="004101B4"/>
    <w:rsid w:val="004103E8"/>
    <w:rsid w:val="00410FC5"/>
    <w:rsid w:val="004110A5"/>
    <w:rsid w:val="00411D0E"/>
    <w:rsid w:val="004134FE"/>
    <w:rsid w:val="00413EF4"/>
    <w:rsid w:val="00415629"/>
    <w:rsid w:val="00415A37"/>
    <w:rsid w:val="00415F1C"/>
    <w:rsid w:val="004168FA"/>
    <w:rsid w:val="004172FD"/>
    <w:rsid w:val="00417D5B"/>
    <w:rsid w:val="004202A3"/>
    <w:rsid w:val="00421F3C"/>
    <w:rsid w:val="004242BD"/>
    <w:rsid w:val="00424AF2"/>
    <w:rsid w:val="0042519F"/>
    <w:rsid w:val="0042590D"/>
    <w:rsid w:val="004301FA"/>
    <w:rsid w:val="00431B76"/>
    <w:rsid w:val="004325A9"/>
    <w:rsid w:val="00432884"/>
    <w:rsid w:val="00432ADB"/>
    <w:rsid w:val="00435A25"/>
    <w:rsid w:val="00440D9F"/>
    <w:rsid w:val="00441C78"/>
    <w:rsid w:val="00443097"/>
    <w:rsid w:val="00443DFE"/>
    <w:rsid w:val="004444CE"/>
    <w:rsid w:val="00444CBB"/>
    <w:rsid w:val="0044589E"/>
    <w:rsid w:val="00445CC9"/>
    <w:rsid w:val="0045164D"/>
    <w:rsid w:val="00452490"/>
    <w:rsid w:val="004611FF"/>
    <w:rsid w:val="00461705"/>
    <w:rsid w:val="00462FC3"/>
    <w:rsid w:val="00471491"/>
    <w:rsid w:val="0047204F"/>
    <w:rsid w:val="00472D3E"/>
    <w:rsid w:val="0047487C"/>
    <w:rsid w:val="00474CCD"/>
    <w:rsid w:val="00476232"/>
    <w:rsid w:val="004764EA"/>
    <w:rsid w:val="00482547"/>
    <w:rsid w:val="00483D30"/>
    <w:rsid w:val="00487683"/>
    <w:rsid w:val="004905A7"/>
    <w:rsid w:val="00492CCF"/>
    <w:rsid w:val="00492FBD"/>
    <w:rsid w:val="0049421D"/>
    <w:rsid w:val="00494591"/>
    <w:rsid w:val="004958C9"/>
    <w:rsid w:val="00496534"/>
    <w:rsid w:val="00496629"/>
    <w:rsid w:val="00496ED4"/>
    <w:rsid w:val="0049730B"/>
    <w:rsid w:val="00497772"/>
    <w:rsid w:val="004A1023"/>
    <w:rsid w:val="004A312D"/>
    <w:rsid w:val="004A3E0F"/>
    <w:rsid w:val="004A4383"/>
    <w:rsid w:val="004A5272"/>
    <w:rsid w:val="004A52C6"/>
    <w:rsid w:val="004A56B9"/>
    <w:rsid w:val="004A5CEB"/>
    <w:rsid w:val="004A6BED"/>
    <w:rsid w:val="004A718B"/>
    <w:rsid w:val="004A7269"/>
    <w:rsid w:val="004B1E1D"/>
    <w:rsid w:val="004B3918"/>
    <w:rsid w:val="004B4E56"/>
    <w:rsid w:val="004B664A"/>
    <w:rsid w:val="004B7874"/>
    <w:rsid w:val="004C34CF"/>
    <w:rsid w:val="004C385C"/>
    <w:rsid w:val="004C4EBA"/>
    <w:rsid w:val="004C530B"/>
    <w:rsid w:val="004D3A79"/>
    <w:rsid w:val="004D51D7"/>
    <w:rsid w:val="004D552D"/>
    <w:rsid w:val="004D5CBC"/>
    <w:rsid w:val="004D5CF1"/>
    <w:rsid w:val="004D7302"/>
    <w:rsid w:val="004D7E20"/>
    <w:rsid w:val="004E00F5"/>
    <w:rsid w:val="004E097F"/>
    <w:rsid w:val="004E0C11"/>
    <w:rsid w:val="004E2305"/>
    <w:rsid w:val="004E39B0"/>
    <w:rsid w:val="004E61F8"/>
    <w:rsid w:val="004F1196"/>
    <w:rsid w:val="004F126D"/>
    <w:rsid w:val="004F23B6"/>
    <w:rsid w:val="004F3EA4"/>
    <w:rsid w:val="004F5067"/>
    <w:rsid w:val="004F5452"/>
    <w:rsid w:val="004F56ED"/>
    <w:rsid w:val="004F6A7F"/>
    <w:rsid w:val="004F7114"/>
    <w:rsid w:val="004F7288"/>
    <w:rsid w:val="004F7ED7"/>
    <w:rsid w:val="00500169"/>
    <w:rsid w:val="005011B5"/>
    <w:rsid w:val="00501C38"/>
    <w:rsid w:val="00501DFE"/>
    <w:rsid w:val="00501E83"/>
    <w:rsid w:val="00502DF8"/>
    <w:rsid w:val="005033B9"/>
    <w:rsid w:val="005035D9"/>
    <w:rsid w:val="00503E5E"/>
    <w:rsid w:val="00503E95"/>
    <w:rsid w:val="0050502E"/>
    <w:rsid w:val="0050528E"/>
    <w:rsid w:val="00505ED9"/>
    <w:rsid w:val="00511CC1"/>
    <w:rsid w:val="00512006"/>
    <w:rsid w:val="0051222D"/>
    <w:rsid w:val="0051341E"/>
    <w:rsid w:val="00514AD4"/>
    <w:rsid w:val="005175FE"/>
    <w:rsid w:val="00517AE2"/>
    <w:rsid w:val="00522323"/>
    <w:rsid w:val="00524119"/>
    <w:rsid w:val="00524678"/>
    <w:rsid w:val="00526465"/>
    <w:rsid w:val="005269C1"/>
    <w:rsid w:val="005271B9"/>
    <w:rsid w:val="005278A0"/>
    <w:rsid w:val="00530BDD"/>
    <w:rsid w:val="00530CEF"/>
    <w:rsid w:val="005318CF"/>
    <w:rsid w:val="00532286"/>
    <w:rsid w:val="00532D81"/>
    <w:rsid w:val="005331C7"/>
    <w:rsid w:val="00533B70"/>
    <w:rsid w:val="00536106"/>
    <w:rsid w:val="00537BB3"/>
    <w:rsid w:val="005415F2"/>
    <w:rsid w:val="00542885"/>
    <w:rsid w:val="005428E8"/>
    <w:rsid w:val="00542E75"/>
    <w:rsid w:val="00543776"/>
    <w:rsid w:val="00546343"/>
    <w:rsid w:val="00550802"/>
    <w:rsid w:val="00550876"/>
    <w:rsid w:val="00554703"/>
    <w:rsid w:val="00554D5E"/>
    <w:rsid w:val="00556361"/>
    <w:rsid w:val="0055659D"/>
    <w:rsid w:val="00556676"/>
    <w:rsid w:val="00561328"/>
    <w:rsid w:val="00562B76"/>
    <w:rsid w:val="00563114"/>
    <w:rsid w:val="00563A3A"/>
    <w:rsid w:val="00563A62"/>
    <w:rsid w:val="0056634B"/>
    <w:rsid w:val="005663DC"/>
    <w:rsid w:val="0056745F"/>
    <w:rsid w:val="005704A8"/>
    <w:rsid w:val="005755BF"/>
    <w:rsid w:val="0057605F"/>
    <w:rsid w:val="005802B2"/>
    <w:rsid w:val="005804F8"/>
    <w:rsid w:val="00580E5F"/>
    <w:rsid w:val="0058176A"/>
    <w:rsid w:val="00582995"/>
    <w:rsid w:val="00582A00"/>
    <w:rsid w:val="00583C6E"/>
    <w:rsid w:val="00584EB0"/>
    <w:rsid w:val="00585AC7"/>
    <w:rsid w:val="005908C9"/>
    <w:rsid w:val="00590A12"/>
    <w:rsid w:val="00590CE7"/>
    <w:rsid w:val="00591A20"/>
    <w:rsid w:val="00596FBE"/>
    <w:rsid w:val="005A0C45"/>
    <w:rsid w:val="005A2566"/>
    <w:rsid w:val="005A46E1"/>
    <w:rsid w:val="005A6497"/>
    <w:rsid w:val="005B39BD"/>
    <w:rsid w:val="005B3AB7"/>
    <w:rsid w:val="005B3ACE"/>
    <w:rsid w:val="005B5C83"/>
    <w:rsid w:val="005B690F"/>
    <w:rsid w:val="005C03AF"/>
    <w:rsid w:val="005C119F"/>
    <w:rsid w:val="005C1395"/>
    <w:rsid w:val="005C2685"/>
    <w:rsid w:val="005C3124"/>
    <w:rsid w:val="005C3579"/>
    <w:rsid w:val="005C59D0"/>
    <w:rsid w:val="005C70E9"/>
    <w:rsid w:val="005C7C4C"/>
    <w:rsid w:val="005D038D"/>
    <w:rsid w:val="005D0FAE"/>
    <w:rsid w:val="005D0FFC"/>
    <w:rsid w:val="005D1EC7"/>
    <w:rsid w:val="005D206E"/>
    <w:rsid w:val="005D216B"/>
    <w:rsid w:val="005D221F"/>
    <w:rsid w:val="005D251D"/>
    <w:rsid w:val="005D4486"/>
    <w:rsid w:val="005D4F12"/>
    <w:rsid w:val="005D6D51"/>
    <w:rsid w:val="005E049B"/>
    <w:rsid w:val="005E066E"/>
    <w:rsid w:val="005E4219"/>
    <w:rsid w:val="005E4F74"/>
    <w:rsid w:val="005E5867"/>
    <w:rsid w:val="005E5E65"/>
    <w:rsid w:val="005E63D2"/>
    <w:rsid w:val="005E72E6"/>
    <w:rsid w:val="005E7953"/>
    <w:rsid w:val="005F17DD"/>
    <w:rsid w:val="005F3773"/>
    <w:rsid w:val="005F655E"/>
    <w:rsid w:val="005F6D26"/>
    <w:rsid w:val="006015E9"/>
    <w:rsid w:val="00602B11"/>
    <w:rsid w:val="00602B4B"/>
    <w:rsid w:val="006034BA"/>
    <w:rsid w:val="00603D43"/>
    <w:rsid w:val="006045E9"/>
    <w:rsid w:val="006057ED"/>
    <w:rsid w:val="006061C1"/>
    <w:rsid w:val="00606C83"/>
    <w:rsid w:val="006079E4"/>
    <w:rsid w:val="00610E2D"/>
    <w:rsid w:val="0061195A"/>
    <w:rsid w:val="006126D0"/>
    <w:rsid w:val="00612E99"/>
    <w:rsid w:val="00613724"/>
    <w:rsid w:val="006162CF"/>
    <w:rsid w:val="006163DB"/>
    <w:rsid w:val="00616CC1"/>
    <w:rsid w:val="00616CC5"/>
    <w:rsid w:val="00616D33"/>
    <w:rsid w:val="00616E71"/>
    <w:rsid w:val="00623449"/>
    <w:rsid w:val="00624B1B"/>
    <w:rsid w:val="00625645"/>
    <w:rsid w:val="00626274"/>
    <w:rsid w:val="006300F1"/>
    <w:rsid w:val="0063075C"/>
    <w:rsid w:val="0063375F"/>
    <w:rsid w:val="00635411"/>
    <w:rsid w:val="0063769E"/>
    <w:rsid w:val="00640278"/>
    <w:rsid w:val="006405C6"/>
    <w:rsid w:val="00640702"/>
    <w:rsid w:val="00640DAB"/>
    <w:rsid w:val="00640E39"/>
    <w:rsid w:val="00641543"/>
    <w:rsid w:val="00651E16"/>
    <w:rsid w:val="006539DE"/>
    <w:rsid w:val="006605AA"/>
    <w:rsid w:val="00660F9F"/>
    <w:rsid w:val="00661CBA"/>
    <w:rsid w:val="00661D16"/>
    <w:rsid w:val="00661DA8"/>
    <w:rsid w:val="00662C12"/>
    <w:rsid w:val="00662D67"/>
    <w:rsid w:val="00662E54"/>
    <w:rsid w:val="00662E5F"/>
    <w:rsid w:val="00662E87"/>
    <w:rsid w:val="0066354C"/>
    <w:rsid w:val="006638D2"/>
    <w:rsid w:val="00665752"/>
    <w:rsid w:val="00665EAD"/>
    <w:rsid w:val="00666293"/>
    <w:rsid w:val="00666F8C"/>
    <w:rsid w:val="00667A19"/>
    <w:rsid w:val="00667B5B"/>
    <w:rsid w:val="00670DB8"/>
    <w:rsid w:val="006715F0"/>
    <w:rsid w:val="00672707"/>
    <w:rsid w:val="006736E7"/>
    <w:rsid w:val="00673EE4"/>
    <w:rsid w:val="0067444B"/>
    <w:rsid w:val="00675B8A"/>
    <w:rsid w:val="00677569"/>
    <w:rsid w:val="00682CFD"/>
    <w:rsid w:val="006834A5"/>
    <w:rsid w:val="00683D19"/>
    <w:rsid w:val="00684173"/>
    <w:rsid w:val="006857FB"/>
    <w:rsid w:val="0069363F"/>
    <w:rsid w:val="00694303"/>
    <w:rsid w:val="00694B71"/>
    <w:rsid w:val="0069587B"/>
    <w:rsid w:val="00696476"/>
    <w:rsid w:val="006A0BB0"/>
    <w:rsid w:val="006A16C1"/>
    <w:rsid w:val="006A1D6F"/>
    <w:rsid w:val="006A24CA"/>
    <w:rsid w:val="006A3253"/>
    <w:rsid w:val="006A48BE"/>
    <w:rsid w:val="006A7F0C"/>
    <w:rsid w:val="006B1C6C"/>
    <w:rsid w:val="006B2288"/>
    <w:rsid w:val="006B2737"/>
    <w:rsid w:val="006B2DFA"/>
    <w:rsid w:val="006B3373"/>
    <w:rsid w:val="006B4C29"/>
    <w:rsid w:val="006B6D93"/>
    <w:rsid w:val="006B6E97"/>
    <w:rsid w:val="006B7140"/>
    <w:rsid w:val="006B7607"/>
    <w:rsid w:val="006B778F"/>
    <w:rsid w:val="006C1081"/>
    <w:rsid w:val="006C298E"/>
    <w:rsid w:val="006C3273"/>
    <w:rsid w:val="006C7263"/>
    <w:rsid w:val="006D1400"/>
    <w:rsid w:val="006D235F"/>
    <w:rsid w:val="006D2606"/>
    <w:rsid w:val="006D3484"/>
    <w:rsid w:val="006D643B"/>
    <w:rsid w:val="006D682D"/>
    <w:rsid w:val="006D6A63"/>
    <w:rsid w:val="006D6E4F"/>
    <w:rsid w:val="006E05FA"/>
    <w:rsid w:val="006E3EDD"/>
    <w:rsid w:val="006E6546"/>
    <w:rsid w:val="006E7517"/>
    <w:rsid w:val="006F0FF5"/>
    <w:rsid w:val="006F21DA"/>
    <w:rsid w:val="006F3D5C"/>
    <w:rsid w:val="006F4C75"/>
    <w:rsid w:val="006F502F"/>
    <w:rsid w:val="006F6164"/>
    <w:rsid w:val="006F6CD7"/>
    <w:rsid w:val="00700089"/>
    <w:rsid w:val="00701444"/>
    <w:rsid w:val="007034E3"/>
    <w:rsid w:val="007040DA"/>
    <w:rsid w:val="0070487B"/>
    <w:rsid w:val="00706EE7"/>
    <w:rsid w:val="00707DAC"/>
    <w:rsid w:val="00710E29"/>
    <w:rsid w:val="00711291"/>
    <w:rsid w:val="00711945"/>
    <w:rsid w:val="00711C45"/>
    <w:rsid w:val="0071257F"/>
    <w:rsid w:val="00713018"/>
    <w:rsid w:val="00713543"/>
    <w:rsid w:val="007137E9"/>
    <w:rsid w:val="00713946"/>
    <w:rsid w:val="00713A13"/>
    <w:rsid w:val="00715F79"/>
    <w:rsid w:val="00717439"/>
    <w:rsid w:val="0071787D"/>
    <w:rsid w:val="0071793D"/>
    <w:rsid w:val="00717A87"/>
    <w:rsid w:val="00717DEB"/>
    <w:rsid w:val="007204B3"/>
    <w:rsid w:val="00720860"/>
    <w:rsid w:val="00722689"/>
    <w:rsid w:val="00723D24"/>
    <w:rsid w:val="00723F15"/>
    <w:rsid w:val="00726622"/>
    <w:rsid w:val="0072736F"/>
    <w:rsid w:val="00730628"/>
    <w:rsid w:val="00731C62"/>
    <w:rsid w:val="00732711"/>
    <w:rsid w:val="007332EC"/>
    <w:rsid w:val="00736097"/>
    <w:rsid w:val="00736791"/>
    <w:rsid w:val="007377CB"/>
    <w:rsid w:val="00737ECB"/>
    <w:rsid w:val="00741AAE"/>
    <w:rsid w:val="00742845"/>
    <w:rsid w:val="007430C5"/>
    <w:rsid w:val="00743580"/>
    <w:rsid w:val="0074464F"/>
    <w:rsid w:val="00744956"/>
    <w:rsid w:val="00744A77"/>
    <w:rsid w:val="00745F4D"/>
    <w:rsid w:val="00746257"/>
    <w:rsid w:val="00746BE7"/>
    <w:rsid w:val="0074735B"/>
    <w:rsid w:val="00747EEB"/>
    <w:rsid w:val="00750D4E"/>
    <w:rsid w:val="00751315"/>
    <w:rsid w:val="00752142"/>
    <w:rsid w:val="007526A9"/>
    <w:rsid w:val="00752D17"/>
    <w:rsid w:val="00752FDF"/>
    <w:rsid w:val="007534E2"/>
    <w:rsid w:val="007542DB"/>
    <w:rsid w:val="00754B82"/>
    <w:rsid w:val="00756712"/>
    <w:rsid w:val="00757FAA"/>
    <w:rsid w:val="00762060"/>
    <w:rsid w:val="0076396F"/>
    <w:rsid w:val="00766B2E"/>
    <w:rsid w:val="0077020F"/>
    <w:rsid w:val="00772311"/>
    <w:rsid w:val="007727F1"/>
    <w:rsid w:val="00774455"/>
    <w:rsid w:val="007762A1"/>
    <w:rsid w:val="00776D2C"/>
    <w:rsid w:val="00777D72"/>
    <w:rsid w:val="007816A3"/>
    <w:rsid w:val="007819FF"/>
    <w:rsid w:val="007823C4"/>
    <w:rsid w:val="00782621"/>
    <w:rsid w:val="00782CA1"/>
    <w:rsid w:val="00784FCC"/>
    <w:rsid w:val="00786767"/>
    <w:rsid w:val="00787D83"/>
    <w:rsid w:val="00791758"/>
    <w:rsid w:val="00793B39"/>
    <w:rsid w:val="00793F12"/>
    <w:rsid w:val="00794871"/>
    <w:rsid w:val="007969C8"/>
    <w:rsid w:val="007970AC"/>
    <w:rsid w:val="00797D62"/>
    <w:rsid w:val="007A44A7"/>
    <w:rsid w:val="007A4E42"/>
    <w:rsid w:val="007A60A5"/>
    <w:rsid w:val="007A7487"/>
    <w:rsid w:val="007A7D7E"/>
    <w:rsid w:val="007B0930"/>
    <w:rsid w:val="007B0BA0"/>
    <w:rsid w:val="007B19E3"/>
    <w:rsid w:val="007B3F1A"/>
    <w:rsid w:val="007B4E95"/>
    <w:rsid w:val="007B5BE1"/>
    <w:rsid w:val="007B754E"/>
    <w:rsid w:val="007B781D"/>
    <w:rsid w:val="007C2E28"/>
    <w:rsid w:val="007C2F79"/>
    <w:rsid w:val="007C5446"/>
    <w:rsid w:val="007C71F9"/>
    <w:rsid w:val="007C7B6B"/>
    <w:rsid w:val="007C7E71"/>
    <w:rsid w:val="007D113B"/>
    <w:rsid w:val="007D24CF"/>
    <w:rsid w:val="007D27C0"/>
    <w:rsid w:val="007D2A66"/>
    <w:rsid w:val="007D3DDC"/>
    <w:rsid w:val="007D4016"/>
    <w:rsid w:val="007D4078"/>
    <w:rsid w:val="007D48E3"/>
    <w:rsid w:val="007D634C"/>
    <w:rsid w:val="007D71F3"/>
    <w:rsid w:val="007D77AB"/>
    <w:rsid w:val="007E2BE8"/>
    <w:rsid w:val="007E37C3"/>
    <w:rsid w:val="007E425C"/>
    <w:rsid w:val="007E58D6"/>
    <w:rsid w:val="007E6D09"/>
    <w:rsid w:val="007E7819"/>
    <w:rsid w:val="007E7F5E"/>
    <w:rsid w:val="007F081D"/>
    <w:rsid w:val="007F1148"/>
    <w:rsid w:val="007F1A06"/>
    <w:rsid w:val="007F5D15"/>
    <w:rsid w:val="007F7520"/>
    <w:rsid w:val="007F77BC"/>
    <w:rsid w:val="00802A9D"/>
    <w:rsid w:val="00803614"/>
    <w:rsid w:val="008040D1"/>
    <w:rsid w:val="0080626B"/>
    <w:rsid w:val="008071A9"/>
    <w:rsid w:val="0081129B"/>
    <w:rsid w:val="008119FD"/>
    <w:rsid w:val="00811AB1"/>
    <w:rsid w:val="008125C8"/>
    <w:rsid w:val="0081269B"/>
    <w:rsid w:val="00813FA6"/>
    <w:rsid w:val="00814610"/>
    <w:rsid w:val="00815C98"/>
    <w:rsid w:val="0081680F"/>
    <w:rsid w:val="0082156F"/>
    <w:rsid w:val="0082170A"/>
    <w:rsid w:val="00822DE1"/>
    <w:rsid w:val="008230D1"/>
    <w:rsid w:val="0082449E"/>
    <w:rsid w:val="00824580"/>
    <w:rsid w:val="008268E2"/>
    <w:rsid w:val="00827961"/>
    <w:rsid w:val="00827C70"/>
    <w:rsid w:val="0083069A"/>
    <w:rsid w:val="00830AFE"/>
    <w:rsid w:val="00830B7D"/>
    <w:rsid w:val="00831291"/>
    <w:rsid w:val="008314AC"/>
    <w:rsid w:val="00831530"/>
    <w:rsid w:val="00836EF2"/>
    <w:rsid w:val="00840603"/>
    <w:rsid w:val="00840CAB"/>
    <w:rsid w:val="008410B7"/>
    <w:rsid w:val="008412EF"/>
    <w:rsid w:val="00841B20"/>
    <w:rsid w:val="008423B6"/>
    <w:rsid w:val="0084447B"/>
    <w:rsid w:val="00844C97"/>
    <w:rsid w:val="00847602"/>
    <w:rsid w:val="00851C58"/>
    <w:rsid w:val="00853C4F"/>
    <w:rsid w:val="0085455B"/>
    <w:rsid w:val="0085644A"/>
    <w:rsid w:val="00860CD9"/>
    <w:rsid w:val="00860D4A"/>
    <w:rsid w:val="00860EE5"/>
    <w:rsid w:val="00860FF6"/>
    <w:rsid w:val="00861447"/>
    <w:rsid w:val="00862167"/>
    <w:rsid w:val="008635C2"/>
    <w:rsid w:val="0086474B"/>
    <w:rsid w:val="00864E51"/>
    <w:rsid w:val="00864FDC"/>
    <w:rsid w:val="00865E4A"/>
    <w:rsid w:val="00866FB5"/>
    <w:rsid w:val="00867BDC"/>
    <w:rsid w:val="00874591"/>
    <w:rsid w:val="00876858"/>
    <w:rsid w:val="00876B3F"/>
    <w:rsid w:val="008773E9"/>
    <w:rsid w:val="00877F54"/>
    <w:rsid w:val="00880A98"/>
    <w:rsid w:val="008827F9"/>
    <w:rsid w:val="008830C4"/>
    <w:rsid w:val="0088338A"/>
    <w:rsid w:val="00883BC9"/>
    <w:rsid w:val="00884970"/>
    <w:rsid w:val="00885789"/>
    <w:rsid w:val="00885C55"/>
    <w:rsid w:val="00886542"/>
    <w:rsid w:val="00887136"/>
    <w:rsid w:val="00887D55"/>
    <w:rsid w:val="008912AC"/>
    <w:rsid w:val="00895A17"/>
    <w:rsid w:val="00896538"/>
    <w:rsid w:val="008A2816"/>
    <w:rsid w:val="008A41A5"/>
    <w:rsid w:val="008A4868"/>
    <w:rsid w:val="008A49DA"/>
    <w:rsid w:val="008A49FC"/>
    <w:rsid w:val="008A4D7F"/>
    <w:rsid w:val="008A567A"/>
    <w:rsid w:val="008A5825"/>
    <w:rsid w:val="008A5C91"/>
    <w:rsid w:val="008A6108"/>
    <w:rsid w:val="008B1940"/>
    <w:rsid w:val="008B2A75"/>
    <w:rsid w:val="008B3942"/>
    <w:rsid w:val="008B40A2"/>
    <w:rsid w:val="008B4345"/>
    <w:rsid w:val="008B4DA6"/>
    <w:rsid w:val="008B520D"/>
    <w:rsid w:val="008C04FF"/>
    <w:rsid w:val="008C0A3E"/>
    <w:rsid w:val="008C1B7A"/>
    <w:rsid w:val="008C1C53"/>
    <w:rsid w:val="008C295F"/>
    <w:rsid w:val="008C2BE8"/>
    <w:rsid w:val="008C63CE"/>
    <w:rsid w:val="008C6421"/>
    <w:rsid w:val="008C6573"/>
    <w:rsid w:val="008C7623"/>
    <w:rsid w:val="008D18A1"/>
    <w:rsid w:val="008D2B3D"/>
    <w:rsid w:val="008D5B9A"/>
    <w:rsid w:val="008E3AC9"/>
    <w:rsid w:val="008E5268"/>
    <w:rsid w:val="008E613C"/>
    <w:rsid w:val="008E6D52"/>
    <w:rsid w:val="008E77DE"/>
    <w:rsid w:val="008F09AD"/>
    <w:rsid w:val="008F1C11"/>
    <w:rsid w:val="008F255F"/>
    <w:rsid w:val="008F2D5E"/>
    <w:rsid w:val="008F310F"/>
    <w:rsid w:val="008F36CC"/>
    <w:rsid w:val="008F380D"/>
    <w:rsid w:val="008F5949"/>
    <w:rsid w:val="0090061F"/>
    <w:rsid w:val="009012DE"/>
    <w:rsid w:val="00904A0B"/>
    <w:rsid w:val="00905F52"/>
    <w:rsid w:val="009064BA"/>
    <w:rsid w:val="009107D9"/>
    <w:rsid w:val="00910F14"/>
    <w:rsid w:val="0091265C"/>
    <w:rsid w:val="009126BA"/>
    <w:rsid w:val="00914AB1"/>
    <w:rsid w:val="00914E77"/>
    <w:rsid w:val="009156F1"/>
    <w:rsid w:val="0091585A"/>
    <w:rsid w:val="00916BBD"/>
    <w:rsid w:val="0091717E"/>
    <w:rsid w:val="0091775B"/>
    <w:rsid w:val="00917850"/>
    <w:rsid w:val="0092009A"/>
    <w:rsid w:val="0092010A"/>
    <w:rsid w:val="00921136"/>
    <w:rsid w:val="00922470"/>
    <w:rsid w:val="009232DA"/>
    <w:rsid w:val="0092373F"/>
    <w:rsid w:val="009247B9"/>
    <w:rsid w:val="0092695B"/>
    <w:rsid w:val="00926E40"/>
    <w:rsid w:val="0092715D"/>
    <w:rsid w:val="00927B13"/>
    <w:rsid w:val="00930B53"/>
    <w:rsid w:val="00930D26"/>
    <w:rsid w:val="00931963"/>
    <w:rsid w:val="00933044"/>
    <w:rsid w:val="00934DB6"/>
    <w:rsid w:val="0093542C"/>
    <w:rsid w:val="00936B58"/>
    <w:rsid w:val="009375A5"/>
    <w:rsid w:val="00941020"/>
    <w:rsid w:val="009415A1"/>
    <w:rsid w:val="009420BA"/>
    <w:rsid w:val="00943C16"/>
    <w:rsid w:val="00944E28"/>
    <w:rsid w:val="00950BD0"/>
    <w:rsid w:val="00952B41"/>
    <w:rsid w:val="009531BD"/>
    <w:rsid w:val="0095324A"/>
    <w:rsid w:val="00954E73"/>
    <w:rsid w:val="00955379"/>
    <w:rsid w:val="009568F0"/>
    <w:rsid w:val="0095782F"/>
    <w:rsid w:val="00960928"/>
    <w:rsid w:val="00962E06"/>
    <w:rsid w:val="00964604"/>
    <w:rsid w:val="00966FB8"/>
    <w:rsid w:val="00967387"/>
    <w:rsid w:val="0097051A"/>
    <w:rsid w:val="009715D9"/>
    <w:rsid w:val="00971D62"/>
    <w:rsid w:val="00973269"/>
    <w:rsid w:val="009737AE"/>
    <w:rsid w:val="00973A4E"/>
    <w:rsid w:val="00975A38"/>
    <w:rsid w:val="00975FD5"/>
    <w:rsid w:val="0097615A"/>
    <w:rsid w:val="009764DE"/>
    <w:rsid w:val="00977835"/>
    <w:rsid w:val="009778C4"/>
    <w:rsid w:val="00981C92"/>
    <w:rsid w:val="0098381D"/>
    <w:rsid w:val="00986353"/>
    <w:rsid w:val="0099158B"/>
    <w:rsid w:val="00994693"/>
    <w:rsid w:val="00994B26"/>
    <w:rsid w:val="00994D74"/>
    <w:rsid w:val="009950B9"/>
    <w:rsid w:val="00996065"/>
    <w:rsid w:val="009A0556"/>
    <w:rsid w:val="009A059F"/>
    <w:rsid w:val="009A0904"/>
    <w:rsid w:val="009A1764"/>
    <w:rsid w:val="009A19B2"/>
    <w:rsid w:val="009A2D5D"/>
    <w:rsid w:val="009A2EDA"/>
    <w:rsid w:val="009A433A"/>
    <w:rsid w:val="009A4E82"/>
    <w:rsid w:val="009A5024"/>
    <w:rsid w:val="009A66CB"/>
    <w:rsid w:val="009A7303"/>
    <w:rsid w:val="009A7459"/>
    <w:rsid w:val="009B05C2"/>
    <w:rsid w:val="009B110D"/>
    <w:rsid w:val="009B1D66"/>
    <w:rsid w:val="009B62F4"/>
    <w:rsid w:val="009B7D25"/>
    <w:rsid w:val="009C135D"/>
    <w:rsid w:val="009C1F0D"/>
    <w:rsid w:val="009C2279"/>
    <w:rsid w:val="009C27BB"/>
    <w:rsid w:val="009C288B"/>
    <w:rsid w:val="009C528B"/>
    <w:rsid w:val="009C5955"/>
    <w:rsid w:val="009C624B"/>
    <w:rsid w:val="009C6367"/>
    <w:rsid w:val="009C7EDF"/>
    <w:rsid w:val="009D342C"/>
    <w:rsid w:val="009D37D8"/>
    <w:rsid w:val="009D3F51"/>
    <w:rsid w:val="009D3FF6"/>
    <w:rsid w:val="009E11C6"/>
    <w:rsid w:val="009E1ABB"/>
    <w:rsid w:val="009E1BEA"/>
    <w:rsid w:val="009E59C9"/>
    <w:rsid w:val="009F0150"/>
    <w:rsid w:val="009F340C"/>
    <w:rsid w:val="009F7BBB"/>
    <w:rsid w:val="00A00B55"/>
    <w:rsid w:val="00A00C22"/>
    <w:rsid w:val="00A01ED8"/>
    <w:rsid w:val="00A02556"/>
    <w:rsid w:val="00A02BDA"/>
    <w:rsid w:val="00A04548"/>
    <w:rsid w:val="00A0466E"/>
    <w:rsid w:val="00A062D4"/>
    <w:rsid w:val="00A074F0"/>
    <w:rsid w:val="00A1069D"/>
    <w:rsid w:val="00A10DDE"/>
    <w:rsid w:val="00A1163F"/>
    <w:rsid w:val="00A116FA"/>
    <w:rsid w:val="00A11B62"/>
    <w:rsid w:val="00A11F3F"/>
    <w:rsid w:val="00A13CA8"/>
    <w:rsid w:val="00A166D7"/>
    <w:rsid w:val="00A16B33"/>
    <w:rsid w:val="00A16F21"/>
    <w:rsid w:val="00A200BC"/>
    <w:rsid w:val="00A21186"/>
    <w:rsid w:val="00A2123C"/>
    <w:rsid w:val="00A215B8"/>
    <w:rsid w:val="00A21CD5"/>
    <w:rsid w:val="00A22235"/>
    <w:rsid w:val="00A22AED"/>
    <w:rsid w:val="00A23B79"/>
    <w:rsid w:val="00A23C7C"/>
    <w:rsid w:val="00A257A3"/>
    <w:rsid w:val="00A261B3"/>
    <w:rsid w:val="00A27C06"/>
    <w:rsid w:val="00A30EFC"/>
    <w:rsid w:val="00A31C82"/>
    <w:rsid w:val="00A3280C"/>
    <w:rsid w:val="00A340D8"/>
    <w:rsid w:val="00A34955"/>
    <w:rsid w:val="00A3683C"/>
    <w:rsid w:val="00A413A4"/>
    <w:rsid w:val="00A4283E"/>
    <w:rsid w:val="00A42E50"/>
    <w:rsid w:val="00A42F53"/>
    <w:rsid w:val="00A43AF6"/>
    <w:rsid w:val="00A4517F"/>
    <w:rsid w:val="00A46331"/>
    <w:rsid w:val="00A4635E"/>
    <w:rsid w:val="00A46D7A"/>
    <w:rsid w:val="00A46FD0"/>
    <w:rsid w:val="00A47B72"/>
    <w:rsid w:val="00A503BF"/>
    <w:rsid w:val="00A51AF9"/>
    <w:rsid w:val="00A5293B"/>
    <w:rsid w:val="00A54279"/>
    <w:rsid w:val="00A54359"/>
    <w:rsid w:val="00A553A6"/>
    <w:rsid w:val="00A56618"/>
    <w:rsid w:val="00A56FE1"/>
    <w:rsid w:val="00A57485"/>
    <w:rsid w:val="00A57E49"/>
    <w:rsid w:val="00A60083"/>
    <w:rsid w:val="00A60DA0"/>
    <w:rsid w:val="00A6208D"/>
    <w:rsid w:val="00A6296A"/>
    <w:rsid w:val="00A63455"/>
    <w:rsid w:val="00A663DD"/>
    <w:rsid w:val="00A67A44"/>
    <w:rsid w:val="00A67B7D"/>
    <w:rsid w:val="00A718D7"/>
    <w:rsid w:val="00A72CC5"/>
    <w:rsid w:val="00A7503F"/>
    <w:rsid w:val="00A75098"/>
    <w:rsid w:val="00A75252"/>
    <w:rsid w:val="00A76F7B"/>
    <w:rsid w:val="00A77104"/>
    <w:rsid w:val="00A772DC"/>
    <w:rsid w:val="00A7741E"/>
    <w:rsid w:val="00A77EAF"/>
    <w:rsid w:val="00A77FB0"/>
    <w:rsid w:val="00A81B49"/>
    <w:rsid w:val="00A8367A"/>
    <w:rsid w:val="00A83B65"/>
    <w:rsid w:val="00A84870"/>
    <w:rsid w:val="00A86F20"/>
    <w:rsid w:val="00A9039E"/>
    <w:rsid w:val="00A90BF3"/>
    <w:rsid w:val="00A91C79"/>
    <w:rsid w:val="00A91CED"/>
    <w:rsid w:val="00A91CF5"/>
    <w:rsid w:val="00A922E7"/>
    <w:rsid w:val="00A92B0B"/>
    <w:rsid w:val="00A932FA"/>
    <w:rsid w:val="00A946C9"/>
    <w:rsid w:val="00A94BE0"/>
    <w:rsid w:val="00A957BB"/>
    <w:rsid w:val="00A9687B"/>
    <w:rsid w:val="00AA0ADA"/>
    <w:rsid w:val="00AA1760"/>
    <w:rsid w:val="00AA241B"/>
    <w:rsid w:val="00AA2DBA"/>
    <w:rsid w:val="00AA4FA9"/>
    <w:rsid w:val="00AA6AF0"/>
    <w:rsid w:val="00AB080A"/>
    <w:rsid w:val="00AB0AA9"/>
    <w:rsid w:val="00AB0E50"/>
    <w:rsid w:val="00AB1DA1"/>
    <w:rsid w:val="00AB26E5"/>
    <w:rsid w:val="00AB58A0"/>
    <w:rsid w:val="00AB5F18"/>
    <w:rsid w:val="00AB6512"/>
    <w:rsid w:val="00AB6B96"/>
    <w:rsid w:val="00AC1EF0"/>
    <w:rsid w:val="00AC22E0"/>
    <w:rsid w:val="00AC2467"/>
    <w:rsid w:val="00AC24D7"/>
    <w:rsid w:val="00AC2E10"/>
    <w:rsid w:val="00AC4211"/>
    <w:rsid w:val="00AC46C1"/>
    <w:rsid w:val="00AC4FC8"/>
    <w:rsid w:val="00AC5B27"/>
    <w:rsid w:val="00AC616C"/>
    <w:rsid w:val="00AD0F82"/>
    <w:rsid w:val="00AD198C"/>
    <w:rsid w:val="00AD2BB3"/>
    <w:rsid w:val="00AD3053"/>
    <w:rsid w:val="00AD5DEF"/>
    <w:rsid w:val="00AD74A0"/>
    <w:rsid w:val="00AD7695"/>
    <w:rsid w:val="00AE0993"/>
    <w:rsid w:val="00AE126E"/>
    <w:rsid w:val="00AE15C6"/>
    <w:rsid w:val="00AE1826"/>
    <w:rsid w:val="00AE1E08"/>
    <w:rsid w:val="00AE2CBA"/>
    <w:rsid w:val="00AE3882"/>
    <w:rsid w:val="00AE7BD1"/>
    <w:rsid w:val="00AF0DAE"/>
    <w:rsid w:val="00AF106F"/>
    <w:rsid w:val="00AF2C21"/>
    <w:rsid w:val="00AF3B47"/>
    <w:rsid w:val="00AF3C82"/>
    <w:rsid w:val="00AF4032"/>
    <w:rsid w:val="00AF64BB"/>
    <w:rsid w:val="00AF6BA9"/>
    <w:rsid w:val="00AF719C"/>
    <w:rsid w:val="00B0030E"/>
    <w:rsid w:val="00B00972"/>
    <w:rsid w:val="00B01807"/>
    <w:rsid w:val="00B01DF3"/>
    <w:rsid w:val="00B02DE8"/>
    <w:rsid w:val="00B044F8"/>
    <w:rsid w:val="00B06AA3"/>
    <w:rsid w:val="00B1041B"/>
    <w:rsid w:val="00B11473"/>
    <w:rsid w:val="00B11C30"/>
    <w:rsid w:val="00B12F69"/>
    <w:rsid w:val="00B13DB3"/>
    <w:rsid w:val="00B1404B"/>
    <w:rsid w:val="00B145D9"/>
    <w:rsid w:val="00B14821"/>
    <w:rsid w:val="00B21F87"/>
    <w:rsid w:val="00B27B0E"/>
    <w:rsid w:val="00B30095"/>
    <w:rsid w:val="00B30B32"/>
    <w:rsid w:val="00B31D28"/>
    <w:rsid w:val="00B31E5E"/>
    <w:rsid w:val="00B35572"/>
    <w:rsid w:val="00B3670A"/>
    <w:rsid w:val="00B37C4A"/>
    <w:rsid w:val="00B41363"/>
    <w:rsid w:val="00B418E8"/>
    <w:rsid w:val="00B41D63"/>
    <w:rsid w:val="00B42066"/>
    <w:rsid w:val="00B43B42"/>
    <w:rsid w:val="00B44EBF"/>
    <w:rsid w:val="00B47277"/>
    <w:rsid w:val="00B47972"/>
    <w:rsid w:val="00B512AC"/>
    <w:rsid w:val="00B52696"/>
    <w:rsid w:val="00B569AC"/>
    <w:rsid w:val="00B56B16"/>
    <w:rsid w:val="00B60050"/>
    <w:rsid w:val="00B60BA4"/>
    <w:rsid w:val="00B64035"/>
    <w:rsid w:val="00B65A17"/>
    <w:rsid w:val="00B67CB3"/>
    <w:rsid w:val="00B707A5"/>
    <w:rsid w:val="00B713D6"/>
    <w:rsid w:val="00B714BC"/>
    <w:rsid w:val="00B7335C"/>
    <w:rsid w:val="00B73C46"/>
    <w:rsid w:val="00B74237"/>
    <w:rsid w:val="00B75857"/>
    <w:rsid w:val="00B76AC3"/>
    <w:rsid w:val="00B80C5B"/>
    <w:rsid w:val="00B84BC3"/>
    <w:rsid w:val="00B85165"/>
    <w:rsid w:val="00B91245"/>
    <w:rsid w:val="00B91D8D"/>
    <w:rsid w:val="00B946E7"/>
    <w:rsid w:val="00B96E80"/>
    <w:rsid w:val="00BA0D46"/>
    <w:rsid w:val="00BA1BAB"/>
    <w:rsid w:val="00BA3EE9"/>
    <w:rsid w:val="00BA42E9"/>
    <w:rsid w:val="00BA4A3A"/>
    <w:rsid w:val="00BA6CD8"/>
    <w:rsid w:val="00BA6F51"/>
    <w:rsid w:val="00BB0778"/>
    <w:rsid w:val="00BB08A7"/>
    <w:rsid w:val="00BB0D3F"/>
    <w:rsid w:val="00BB12B1"/>
    <w:rsid w:val="00BB289D"/>
    <w:rsid w:val="00BB50DC"/>
    <w:rsid w:val="00BB5626"/>
    <w:rsid w:val="00BB6A92"/>
    <w:rsid w:val="00BB72FE"/>
    <w:rsid w:val="00BB75EC"/>
    <w:rsid w:val="00BB7EEE"/>
    <w:rsid w:val="00BC0DE5"/>
    <w:rsid w:val="00BC1A6A"/>
    <w:rsid w:val="00BC271D"/>
    <w:rsid w:val="00BC28E6"/>
    <w:rsid w:val="00BC6F0C"/>
    <w:rsid w:val="00BC78CE"/>
    <w:rsid w:val="00BD0D82"/>
    <w:rsid w:val="00BD10FB"/>
    <w:rsid w:val="00BD2608"/>
    <w:rsid w:val="00BD301F"/>
    <w:rsid w:val="00BD689B"/>
    <w:rsid w:val="00BD745A"/>
    <w:rsid w:val="00BD7FC0"/>
    <w:rsid w:val="00BE0211"/>
    <w:rsid w:val="00BE063E"/>
    <w:rsid w:val="00BE06B3"/>
    <w:rsid w:val="00BE2D0D"/>
    <w:rsid w:val="00BE32D9"/>
    <w:rsid w:val="00BE3608"/>
    <w:rsid w:val="00BE3F55"/>
    <w:rsid w:val="00BE43C8"/>
    <w:rsid w:val="00BE4C96"/>
    <w:rsid w:val="00BE74F0"/>
    <w:rsid w:val="00BE7781"/>
    <w:rsid w:val="00BF23B5"/>
    <w:rsid w:val="00BF3060"/>
    <w:rsid w:val="00BF41E3"/>
    <w:rsid w:val="00C03287"/>
    <w:rsid w:val="00C04C4C"/>
    <w:rsid w:val="00C05502"/>
    <w:rsid w:val="00C05634"/>
    <w:rsid w:val="00C06325"/>
    <w:rsid w:val="00C071A4"/>
    <w:rsid w:val="00C0768F"/>
    <w:rsid w:val="00C10034"/>
    <w:rsid w:val="00C124F6"/>
    <w:rsid w:val="00C141B2"/>
    <w:rsid w:val="00C14523"/>
    <w:rsid w:val="00C1525E"/>
    <w:rsid w:val="00C15C4A"/>
    <w:rsid w:val="00C20194"/>
    <w:rsid w:val="00C2177A"/>
    <w:rsid w:val="00C22135"/>
    <w:rsid w:val="00C22B98"/>
    <w:rsid w:val="00C2448F"/>
    <w:rsid w:val="00C2490B"/>
    <w:rsid w:val="00C25421"/>
    <w:rsid w:val="00C30B49"/>
    <w:rsid w:val="00C31C13"/>
    <w:rsid w:val="00C320DE"/>
    <w:rsid w:val="00C32585"/>
    <w:rsid w:val="00C34C7F"/>
    <w:rsid w:val="00C35A9C"/>
    <w:rsid w:val="00C36806"/>
    <w:rsid w:val="00C404FC"/>
    <w:rsid w:val="00C40779"/>
    <w:rsid w:val="00C42B42"/>
    <w:rsid w:val="00C44688"/>
    <w:rsid w:val="00C46CF7"/>
    <w:rsid w:val="00C47182"/>
    <w:rsid w:val="00C5026B"/>
    <w:rsid w:val="00C51160"/>
    <w:rsid w:val="00C51FFD"/>
    <w:rsid w:val="00C53D7E"/>
    <w:rsid w:val="00C54904"/>
    <w:rsid w:val="00C56447"/>
    <w:rsid w:val="00C56856"/>
    <w:rsid w:val="00C5694F"/>
    <w:rsid w:val="00C57890"/>
    <w:rsid w:val="00C60437"/>
    <w:rsid w:val="00C629CF"/>
    <w:rsid w:val="00C63BD7"/>
    <w:rsid w:val="00C63DB0"/>
    <w:rsid w:val="00C64BA0"/>
    <w:rsid w:val="00C64D01"/>
    <w:rsid w:val="00C65031"/>
    <w:rsid w:val="00C66597"/>
    <w:rsid w:val="00C70552"/>
    <w:rsid w:val="00C7498A"/>
    <w:rsid w:val="00C76DF9"/>
    <w:rsid w:val="00C82AB0"/>
    <w:rsid w:val="00C8504E"/>
    <w:rsid w:val="00C87978"/>
    <w:rsid w:val="00C90723"/>
    <w:rsid w:val="00C92034"/>
    <w:rsid w:val="00C95D72"/>
    <w:rsid w:val="00C9613B"/>
    <w:rsid w:val="00C9728D"/>
    <w:rsid w:val="00C97B26"/>
    <w:rsid w:val="00CA3D95"/>
    <w:rsid w:val="00CA548B"/>
    <w:rsid w:val="00CB05D9"/>
    <w:rsid w:val="00CB16DE"/>
    <w:rsid w:val="00CB34A1"/>
    <w:rsid w:val="00CB4977"/>
    <w:rsid w:val="00CB5E04"/>
    <w:rsid w:val="00CB7D2D"/>
    <w:rsid w:val="00CB7DE4"/>
    <w:rsid w:val="00CB7E6B"/>
    <w:rsid w:val="00CC0188"/>
    <w:rsid w:val="00CC106B"/>
    <w:rsid w:val="00CC1945"/>
    <w:rsid w:val="00CC1C84"/>
    <w:rsid w:val="00CC2B61"/>
    <w:rsid w:val="00CC3AFB"/>
    <w:rsid w:val="00CC6758"/>
    <w:rsid w:val="00CC7549"/>
    <w:rsid w:val="00CD0FCC"/>
    <w:rsid w:val="00CD16C3"/>
    <w:rsid w:val="00CD19F0"/>
    <w:rsid w:val="00CD1C18"/>
    <w:rsid w:val="00CD1E73"/>
    <w:rsid w:val="00CD4E87"/>
    <w:rsid w:val="00CD5B57"/>
    <w:rsid w:val="00CD7F88"/>
    <w:rsid w:val="00CE033C"/>
    <w:rsid w:val="00CE0928"/>
    <w:rsid w:val="00CE156C"/>
    <w:rsid w:val="00CE2289"/>
    <w:rsid w:val="00CE2F9B"/>
    <w:rsid w:val="00CE31A9"/>
    <w:rsid w:val="00CE4F60"/>
    <w:rsid w:val="00CE56A9"/>
    <w:rsid w:val="00CE67CC"/>
    <w:rsid w:val="00CE7A71"/>
    <w:rsid w:val="00CE7BCE"/>
    <w:rsid w:val="00CF02C3"/>
    <w:rsid w:val="00CF0809"/>
    <w:rsid w:val="00CF2AC6"/>
    <w:rsid w:val="00CF4D0E"/>
    <w:rsid w:val="00CF6881"/>
    <w:rsid w:val="00CF7A53"/>
    <w:rsid w:val="00CF7EE1"/>
    <w:rsid w:val="00D01BD7"/>
    <w:rsid w:val="00D0360E"/>
    <w:rsid w:val="00D03CD1"/>
    <w:rsid w:val="00D05034"/>
    <w:rsid w:val="00D05487"/>
    <w:rsid w:val="00D05E06"/>
    <w:rsid w:val="00D06183"/>
    <w:rsid w:val="00D1022D"/>
    <w:rsid w:val="00D10230"/>
    <w:rsid w:val="00D12491"/>
    <w:rsid w:val="00D12804"/>
    <w:rsid w:val="00D12D5D"/>
    <w:rsid w:val="00D13D15"/>
    <w:rsid w:val="00D13F1D"/>
    <w:rsid w:val="00D14D5F"/>
    <w:rsid w:val="00D16B5A"/>
    <w:rsid w:val="00D1700D"/>
    <w:rsid w:val="00D208C6"/>
    <w:rsid w:val="00D216A4"/>
    <w:rsid w:val="00D22842"/>
    <w:rsid w:val="00D22F47"/>
    <w:rsid w:val="00D23058"/>
    <w:rsid w:val="00D23DFA"/>
    <w:rsid w:val="00D2483F"/>
    <w:rsid w:val="00D264E3"/>
    <w:rsid w:val="00D27D56"/>
    <w:rsid w:val="00D27D94"/>
    <w:rsid w:val="00D30862"/>
    <w:rsid w:val="00D326DE"/>
    <w:rsid w:val="00D32EAE"/>
    <w:rsid w:val="00D3360A"/>
    <w:rsid w:val="00D3535F"/>
    <w:rsid w:val="00D363F9"/>
    <w:rsid w:val="00D36C69"/>
    <w:rsid w:val="00D413CA"/>
    <w:rsid w:val="00D4237E"/>
    <w:rsid w:val="00D4243B"/>
    <w:rsid w:val="00D44C46"/>
    <w:rsid w:val="00D4564F"/>
    <w:rsid w:val="00D46299"/>
    <w:rsid w:val="00D46341"/>
    <w:rsid w:val="00D468F5"/>
    <w:rsid w:val="00D46EAB"/>
    <w:rsid w:val="00D5031B"/>
    <w:rsid w:val="00D53C6B"/>
    <w:rsid w:val="00D53F97"/>
    <w:rsid w:val="00D5466D"/>
    <w:rsid w:val="00D54E86"/>
    <w:rsid w:val="00D558B6"/>
    <w:rsid w:val="00D55E75"/>
    <w:rsid w:val="00D57716"/>
    <w:rsid w:val="00D60781"/>
    <w:rsid w:val="00D60AF9"/>
    <w:rsid w:val="00D61BBC"/>
    <w:rsid w:val="00D62C8F"/>
    <w:rsid w:val="00D637CE"/>
    <w:rsid w:val="00D63B4E"/>
    <w:rsid w:val="00D63C58"/>
    <w:rsid w:val="00D6467E"/>
    <w:rsid w:val="00D653CA"/>
    <w:rsid w:val="00D71215"/>
    <w:rsid w:val="00D7312F"/>
    <w:rsid w:val="00D731E8"/>
    <w:rsid w:val="00D73E5E"/>
    <w:rsid w:val="00D75B44"/>
    <w:rsid w:val="00D7629F"/>
    <w:rsid w:val="00D77025"/>
    <w:rsid w:val="00D815AC"/>
    <w:rsid w:val="00D81608"/>
    <w:rsid w:val="00D81E99"/>
    <w:rsid w:val="00D820BC"/>
    <w:rsid w:val="00D828A2"/>
    <w:rsid w:val="00D828F9"/>
    <w:rsid w:val="00D82CC1"/>
    <w:rsid w:val="00D83A25"/>
    <w:rsid w:val="00D8502C"/>
    <w:rsid w:val="00D8587C"/>
    <w:rsid w:val="00D85D2A"/>
    <w:rsid w:val="00D86378"/>
    <w:rsid w:val="00D86D1A"/>
    <w:rsid w:val="00D8774A"/>
    <w:rsid w:val="00D90CCB"/>
    <w:rsid w:val="00D90F3B"/>
    <w:rsid w:val="00D90F72"/>
    <w:rsid w:val="00D91399"/>
    <w:rsid w:val="00D92ECF"/>
    <w:rsid w:val="00D9485F"/>
    <w:rsid w:val="00D94CD1"/>
    <w:rsid w:val="00D951CE"/>
    <w:rsid w:val="00D95D47"/>
    <w:rsid w:val="00D969B7"/>
    <w:rsid w:val="00D96C9F"/>
    <w:rsid w:val="00D97A76"/>
    <w:rsid w:val="00DA00F4"/>
    <w:rsid w:val="00DA0616"/>
    <w:rsid w:val="00DA0F01"/>
    <w:rsid w:val="00DA5FCB"/>
    <w:rsid w:val="00DA62DD"/>
    <w:rsid w:val="00DA6796"/>
    <w:rsid w:val="00DA78DE"/>
    <w:rsid w:val="00DB125A"/>
    <w:rsid w:val="00DB21C9"/>
    <w:rsid w:val="00DB2F09"/>
    <w:rsid w:val="00DB3B15"/>
    <w:rsid w:val="00DB490A"/>
    <w:rsid w:val="00DB4F63"/>
    <w:rsid w:val="00DB57CF"/>
    <w:rsid w:val="00DB59B9"/>
    <w:rsid w:val="00DB680A"/>
    <w:rsid w:val="00DB70C1"/>
    <w:rsid w:val="00DC04C7"/>
    <w:rsid w:val="00DC0A0F"/>
    <w:rsid w:val="00DC4F7D"/>
    <w:rsid w:val="00DC5277"/>
    <w:rsid w:val="00DC5622"/>
    <w:rsid w:val="00DC5B01"/>
    <w:rsid w:val="00DC7B3C"/>
    <w:rsid w:val="00DD0BC1"/>
    <w:rsid w:val="00DD4114"/>
    <w:rsid w:val="00DD4141"/>
    <w:rsid w:val="00DD4DF1"/>
    <w:rsid w:val="00DD510A"/>
    <w:rsid w:val="00DD5833"/>
    <w:rsid w:val="00DD605D"/>
    <w:rsid w:val="00DD641F"/>
    <w:rsid w:val="00DD6CF2"/>
    <w:rsid w:val="00DE04D0"/>
    <w:rsid w:val="00DE19FF"/>
    <w:rsid w:val="00DE3F2B"/>
    <w:rsid w:val="00DE43DD"/>
    <w:rsid w:val="00DE490B"/>
    <w:rsid w:val="00DE69BC"/>
    <w:rsid w:val="00DE6D59"/>
    <w:rsid w:val="00DE718D"/>
    <w:rsid w:val="00DE724F"/>
    <w:rsid w:val="00DF07AB"/>
    <w:rsid w:val="00DF2239"/>
    <w:rsid w:val="00DF2EC9"/>
    <w:rsid w:val="00DF40C0"/>
    <w:rsid w:val="00DF60D8"/>
    <w:rsid w:val="00DF6115"/>
    <w:rsid w:val="00DF64DB"/>
    <w:rsid w:val="00DF7756"/>
    <w:rsid w:val="00DF77BD"/>
    <w:rsid w:val="00E00272"/>
    <w:rsid w:val="00E0044B"/>
    <w:rsid w:val="00E01AE9"/>
    <w:rsid w:val="00E01F55"/>
    <w:rsid w:val="00E04E89"/>
    <w:rsid w:val="00E058A1"/>
    <w:rsid w:val="00E05E02"/>
    <w:rsid w:val="00E06F62"/>
    <w:rsid w:val="00E07B4F"/>
    <w:rsid w:val="00E11048"/>
    <w:rsid w:val="00E11F75"/>
    <w:rsid w:val="00E127B5"/>
    <w:rsid w:val="00E12F58"/>
    <w:rsid w:val="00E1463D"/>
    <w:rsid w:val="00E1480B"/>
    <w:rsid w:val="00E161A0"/>
    <w:rsid w:val="00E20D3A"/>
    <w:rsid w:val="00E21213"/>
    <w:rsid w:val="00E22A09"/>
    <w:rsid w:val="00E22C00"/>
    <w:rsid w:val="00E22CB7"/>
    <w:rsid w:val="00E23D4C"/>
    <w:rsid w:val="00E25BE9"/>
    <w:rsid w:val="00E2729C"/>
    <w:rsid w:val="00E3164A"/>
    <w:rsid w:val="00E32891"/>
    <w:rsid w:val="00E33853"/>
    <w:rsid w:val="00E33E64"/>
    <w:rsid w:val="00E37687"/>
    <w:rsid w:val="00E4160C"/>
    <w:rsid w:val="00E422F2"/>
    <w:rsid w:val="00E46572"/>
    <w:rsid w:val="00E5082D"/>
    <w:rsid w:val="00E50DA1"/>
    <w:rsid w:val="00E53E25"/>
    <w:rsid w:val="00E560F5"/>
    <w:rsid w:val="00E57DE0"/>
    <w:rsid w:val="00E60074"/>
    <w:rsid w:val="00E60E9D"/>
    <w:rsid w:val="00E62493"/>
    <w:rsid w:val="00E63AD8"/>
    <w:rsid w:val="00E63B66"/>
    <w:rsid w:val="00E64FAB"/>
    <w:rsid w:val="00E65491"/>
    <w:rsid w:val="00E655E0"/>
    <w:rsid w:val="00E67DBB"/>
    <w:rsid w:val="00E71E7E"/>
    <w:rsid w:val="00E74C9F"/>
    <w:rsid w:val="00E76763"/>
    <w:rsid w:val="00E76E29"/>
    <w:rsid w:val="00E77BE7"/>
    <w:rsid w:val="00E801F1"/>
    <w:rsid w:val="00E8062A"/>
    <w:rsid w:val="00E80E84"/>
    <w:rsid w:val="00E818DC"/>
    <w:rsid w:val="00E81D5A"/>
    <w:rsid w:val="00E83666"/>
    <w:rsid w:val="00E8574B"/>
    <w:rsid w:val="00E90663"/>
    <w:rsid w:val="00E941D3"/>
    <w:rsid w:val="00E94A7B"/>
    <w:rsid w:val="00E94F03"/>
    <w:rsid w:val="00EA1DD1"/>
    <w:rsid w:val="00EA21E4"/>
    <w:rsid w:val="00EA2B68"/>
    <w:rsid w:val="00EA3145"/>
    <w:rsid w:val="00EA517B"/>
    <w:rsid w:val="00EA5AA7"/>
    <w:rsid w:val="00EA68F6"/>
    <w:rsid w:val="00EA6C3D"/>
    <w:rsid w:val="00EA7A62"/>
    <w:rsid w:val="00EB1CEF"/>
    <w:rsid w:val="00EB2224"/>
    <w:rsid w:val="00EB4CE5"/>
    <w:rsid w:val="00EB5529"/>
    <w:rsid w:val="00EB5704"/>
    <w:rsid w:val="00EB5CB4"/>
    <w:rsid w:val="00EB61C9"/>
    <w:rsid w:val="00EB6D4F"/>
    <w:rsid w:val="00EB7078"/>
    <w:rsid w:val="00EC0E3E"/>
    <w:rsid w:val="00EC1BF9"/>
    <w:rsid w:val="00EC5057"/>
    <w:rsid w:val="00EC7471"/>
    <w:rsid w:val="00ED0674"/>
    <w:rsid w:val="00ED14DA"/>
    <w:rsid w:val="00ED4C53"/>
    <w:rsid w:val="00ED541A"/>
    <w:rsid w:val="00ED6437"/>
    <w:rsid w:val="00ED65EF"/>
    <w:rsid w:val="00ED680C"/>
    <w:rsid w:val="00ED790D"/>
    <w:rsid w:val="00ED7C61"/>
    <w:rsid w:val="00EE0333"/>
    <w:rsid w:val="00EE0A66"/>
    <w:rsid w:val="00EE38CB"/>
    <w:rsid w:val="00EE3DF4"/>
    <w:rsid w:val="00EE49AE"/>
    <w:rsid w:val="00EE4AEF"/>
    <w:rsid w:val="00EE5992"/>
    <w:rsid w:val="00EE703F"/>
    <w:rsid w:val="00EE7109"/>
    <w:rsid w:val="00EF0E5F"/>
    <w:rsid w:val="00EF1C27"/>
    <w:rsid w:val="00EF4C5A"/>
    <w:rsid w:val="00EF4F6F"/>
    <w:rsid w:val="00EF6E15"/>
    <w:rsid w:val="00F008E8"/>
    <w:rsid w:val="00F00F94"/>
    <w:rsid w:val="00F01197"/>
    <w:rsid w:val="00F01401"/>
    <w:rsid w:val="00F0257E"/>
    <w:rsid w:val="00F033D7"/>
    <w:rsid w:val="00F037CA"/>
    <w:rsid w:val="00F05651"/>
    <w:rsid w:val="00F05751"/>
    <w:rsid w:val="00F0584E"/>
    <w:rsid w:val="00F06F9B"/>
    <w:rsid w:val="00F07FB3"/>
    <w:rsid w:val="00F11922"/>
    <w:rsid w:val="00F11BEA"/>
    <w:rsid w:val="00F17BEA"/>
    <w:rsid w:val="00F20157"/>
    <w:rsid w:val="00F2187D"/>
    <w:rsid w:val="00F24409"/>
    <w:rsid w:val="00F245E0"/>
    <w:rsid w:val="00F24BA7"/>
    <w:rsid w:val="00F24E5F"/>
    <w:rsid w:val="00F25269"/>
    <w:rsid w:val="00F25B22"/>
    <w:rsid w:val="00F25F0C"/>
    <w:rsid w:val="00F27612"/>
    <w:rsid w:val="00F277D1"/>
    <w:rsid w:val="00F30D4D"/>
    <w:rsid w:val="00F31989"/>
    <w:rsid w:val="00F31E17"/>
    <w:rsid w:val="00F3446A"/>
    <w:rsid w:val="00F34779"/>
    <w:rsid w:val="00F352E3"/>
    <w:rsid w:val="00F35458"/>
    <w:rsid w:val="00F35DED"/>
    <w:rsid w:val="00F403EF"/>
    <w:rsid w:val="00F4353E"/>
    <w:rsid w:val="00F44BB7"/>
    <w:rsid w:val="00F45593"/>
    <w:rsid w:val="00F458A5"/>
    <w:rsid w:val="00F467C5"/>
    <w:rsid w:val="00F504FE"/>
    <w:rsid w:val="00F50976"/>
    <w:rsid w:val="00F513B4"/>
    <w:rsid w:val="00F5148E"/>
    <w:rsid w:val="00F51F35"/>
    <w:rsid w:val="00F52256"/>
    <w:rsid w:val="00F52A19"/>
    <w:rsid w:val="00F53A69"/>
    <w:rsid w:val="00F5460E"/>
    <w:rsid w:val="00F55CF9"/>
    <w:rsid w:val="00F60575"/>
    <w:rsid w:val="00F6065A"/>
    <w:rsid w:val="00F62805"/>
    <w:rsid w:val="00F6678F"/>
    <w:rsid w:val="00F66DB7"/>
    <w:rsid w:val="00F66DED"/>
    <w:rsid w:val="00F776DE"/>
    <w:rsid w:val="00F803E0"/>
    <w:rsid w:val="00F8054F"/>
    <w:rsid w:val="00F808EF"/>
    <w:rsid w:val="00F81797"/>
    <w:rsid w:val="00F826EC"/>
    <w:rsid w:val="00F8333F"/>
    <w:rsid w:val="00F83D66"/>
    <w:rsid w:val="00F84AFD"/>
    <w:rsid w:val="00F85A95"/>
    <w:rsid w:val="00F867E2"/>
    <w:rsid w:val="00F8723A"/>
    <w:rsid w:val="00F900C2"/>
    <w:rsid w:val="00F901FC"/>
    <w:rsid w:val="00F9145D"/>
    <w:rsid w:val="00F91D13"/>
    <w:rsid w:val="00F935F4"/>
    <w:rsid w:val="00F9542D"/>
    <w:rsid w:val="00F95850"/>
    <w:rsid w:val="00F95E72"/>
    <w:rsid w:val="00F979FE"/>
    <w:rsid w:val="00FA1BD0"/>
    <w:rsid w:val="00FA3CDF"/>
    <w:rsid w:val="00FA4090"/>
    <w:rsid w:val="00FA4DBA"/>
    <w:rsid w:val="00FA4E51"/>
    <w:rsid w:val="00FA5DED"/>
    <w:rsid w:val="00FB0227"/>
    <w:rsid w:val="00FB1140"/>
    <w:rsid w:val="00FB1945"/>
    <w:rsid w:val="00FB41A3"/>
    <w:rsid w:val="00FB5AB7"/>
    <w:rsid w:val="00FB6D54"/>
    <w:rsid w:val="00FB795F"/>
    <w:rsid w:val="00FB7CCE"/>
    <w:rsid w:val="00FC1080"/>
    <w:rsid w:val="00FC3190"/>
    <w:rsid w:val="00FC3569"/>
    <w:rsid w:val="00FC4DEB"/>
    <w:rsid w:val="00FC5D1F"/>
    <w:rsid w:val="00FC6EDE"/>
    <w:rsid w:val="00FC6F27"/>
    <w:rsid w:val="00FD22F4"/>
    <w:rsid w:val="00FD2C7E"/>
    <w:rsid w:val="00FD3AAA"/>
    <w:rsid w:val="00FD4E2F"/>
    <w:rsid w:val="00FD4EAF"/>
    <w:rsid w:val="00FD78E6"/>
    <w:rsid w:val="00FD793B"/>
    <w:rsid w:val="00FE00B4"/>
    <w:rsid w:val="00FE06CE"/>
    <w:rsid w:val="00FE11BB"/>
    <w:rsid w:val="00FE44F0"/>
    <w:rsid w:val="00FE48EF"/>
    <w:rsid w:val="00FE4E70"/>
    <w:rsid w:val="00FE5258"/>
    <w:rsid w:val="00FF0935"/>
    <w:rsid w:val="00FF0C8C"/>
    <w:rsid w:val="00FF12EB"/>
    <w:rsid w:val="00FF2D1F"/>
    <w:rsid w:val="00FF2F35"/>
    <w:rsid w:val="00FF3E32"/>
    <w:rsid w:val="00FF497E"/>
    <w:rsid w:val="00FF6FAF"/>
    <w:rsid w:val="00FF776D"/>
    <w:rsid w:val="00FF7C3C"/>
    <w:rsid w:val="01AE5508"/>
    <w:rsid w:val="033609AC"/>
    <w:rsid w:val="03C32681"/>
    <w:rsid w:val="04136C3A"/>
    <w:rsid w:val="04534B44"/>
    <w:rsid w:val="04543C49"/>
    <w:rsid w:val="04A73F82"/>
    <w:rsid w:val="04C23B94"/>
    <w:rsid w:val="05AA1011"/>
    <w:rsid w:val="05BD6238"/>
    <w:rsid w:val="063763E1"/>
    <w:rsid w:val="069E6631"/>
    <w:rsid w:val="06C07E5E"/>
    <w:rsid w:val="06DC6657"/>
    <w:rsid w:val="06EA48D3"/>
    <w:rsid w:val="070869A0"/>
    <w:rsid w:val="07747A0A"/>
    <w:rsid w:val="07EA716D"/>
    <w:rsid w:val="088846A2"/>
    <w:rsid w:val="08D63F06"/>
    <w:rsid w:val="08D72294"/>
    <w:rsid w:val="093963D0"/>
    <w:rsid w:val="0A000F48"/>
    <w:rsid w:val="0A484C44"/>
    <w:rsid w:val="0A4C137D"/>
    <w:rsid w:val="0A58675E"/>
    <w:rsid w:val="0A5919B1"/>
    <w:rsid w:val="0AA5681D"/>
    <w:rsid w:val="0AD91189"/>
    <w:rsid w:val="0AF10A06"/>
    <w:rsid w:val="0B245C43"/>
    <w:rsid w:val="0B4775FE"/>
    <w:rsid w:val="0BC91127"/>
    <w:rsid w:val="0C3F7E11"/>
    <w:rsid w:val="0CB66C18"/>
    <w:rsid w:val="0D1147EA"/>
    <w:rsid w:val="0DEB61AD"/>
    <w:rsid w:val="0E205FD6"/>
    <w:rsid w:val="0F680CCD"/>
    <w:rsid w:val="0F8A1483"/>
    <w:rsid w:val="0FA94F1F"/>
    <w:rsid w:val="108E2E5C"/>
    <w:rsid w:val="10BB6808"/>
    <w:rsid w:val="110E14A8"/>
    <w:rsid w:val="116E1E0E"/>
    <w:rsid w:val="117B4D74"/>
    <w:rsid w:val="11BD0D7F"/>
    <w:rsid w:val="11D81381"/>
    <w:rsid w:val="11DE33CD"/>
    <w:rsid w:val="13D22513"/>
    <w:rsid w:val="13F74B39"/>
    <w:rsid w:val="13F7531B"/>
    <w:rsid w:val="185449F2"/>
    <w:rsid w:val="18EB6EC9"/>
    <w:rsid w:val="19071568"/>
    <w:rsid w:val="19425C9E"/>
    <w:rsid w:val="19777D5F"/>
    <w:rsid w:val="1A273A3A"/>
    <w:rsid w:val="1A717585"/>
    <w:rsid w:val="1AC347CC"/>
    <w:rsid w:val="1B20345B"/>
    <w:rsid w:val="1C110488"/>
    <w:rsid w:val="1CAA56AE"/>
    <w:rsid w:val="1CC74890"/>
    <w:rsid w:val="1CF47F51"/>
    <w:rsid w:val="1D3E21E5"/>
    <w:rsid w:val="1D5C7D1B"/>
    <w:rsid w:val="1D7F5D02"/>
    <w:rsid w:val="1F101A6B"/>
    <w:rsid w:val="1FA87CBD"/>
    <w:rsid w:val="1FFA4AC1"/>
    <w:rsid w:val="208E071D"/>
    <w:rsid w:val="21060B1C"/>
    <w:rsid w:val="21345642"/>
    <w:rsid w:val="21545813"/>
    <w:rsid w:val="21627335"/>
    <w:rsid w:val="21CD72B1"/>
    <w:rsid w:val="23B31257"/>
    <w:rsid w:val="24066CDE"/>
    <w:rsid w:val="24F617AE"/>
    <w:rsid w:val="25CC5C8B"/>
    <w:rsid w:val="25F14C74"/>
    <w:rsid w:val="264961BC"/>
    <w:rsid w:val="26570A1D"/>
    <w:rsid w:val="2806747A"/>
    <w:rsid w:val="28C573AE"/>
    <w:rsid w:val="298272E8"/>
    <w:rsid w:val="2A5502D8"/>
    <w:rsid w:val="2A7B2D5E"/>
    <w:rsid w:val="2AE947C0"/>
    <w:rsid w:val="2B500197"/>
    <w:rsid w:val="2B9809DF"/>
    <w:rsid w:val="2C070162"/>
    <w:rsid w:val="2CD06F76"/>
    <w:rsid w:val="2DBC4534"/>
    <w:rsid w:val="2DC75150"/>
    <w:rsid w:val="2DF73C30"/>
    <w:rsid w:val="2DFD5ABE"/>
    <w:rsid w:val="2E220F9D"/>
    <w:rsid w:val="2E2B3447"/>
    <w:rsid w:val="2F265D7D"/>
    <w:rsid w:val="302A1120"/>
    <w:rsid w:val="30C63174"/>
    <w:rsid w:val="31BC2A90"/>
    <w:rsid w:val="31F71781"/>
    <w:rsid w:val="32166247"/>
    <w:rsid w:val="323A4494"/>
    <w:rsid w:val="32487327"/>
    <w:rsid w:val="32862118"/>
    <w:rsid w:val="32F77599"/>
    <w:rsid w:val="337A5E68"/>
    <w:rsid w:val="338465E6"/>
    <w:rsid w:val="3393154D"/>
    <w:rsid w:val="339A4CF2"/>
    <w:rsid w:val="346B5FC4"/>
    <w:rsid w:val="347267E1"/>
    <w:rsid w:val="348740CB"/>
    <w:rsid w:val="34C04A18"/>
    <w:rsid w:val="34E4410B"/>
    <w:rsid w:val="352167C6"/>
    <w:rsid w:val="357453F9"/>
    <w:rsid w:val="36232956"/>
    <w:rsid w:val="364F239B"/>
    <w:rsid w:val="37167EC8"/>
    <w:rsid w:val="37617FB6"/>
    <w:rsid w:val="37D2533B"/>
    <w:rsid w:val="38920780"/>
    <w:rsid w:val="39EE26EE"/>
    <w:rsid w:val="3A542483"/>
    <w:rsid w:val="3B4D7627"/>
    <w:rsid w:val="3B7A4D89"/>
    <w:rsid w:val="3CBC4E5F"/>
    <w:rsid w:val="3D2752CB"/>
    <w:rsid w:val="3D7B08F3"/>
    <w:rsid w:val="3DC51638"/>
    <w:rsid w:val="3E2A2E29"/>
    <w:rsid w:val="3E305079"/>
    <w:rsid w:val="3E5C0D8C"/>
    <w:rsid w:val="3E8D061E"/>
    <w:rsid w:val="3EA40FB0"/>
    <w:rsid w:val="3F0B1489"/>
    <w:rsid w:val="402101F2"/>
    <w:rsid w:val="40F961D3"/>
    <w:rsid w:val="42390F9C"/>
    <w:rsid w:val="43026733"/>
    <w:rsid w:val="433C56A1"/>
    <w:rsid w:val="43495AF8"/>
    <w:rsid w:val="43BF22A3"/>
    <w:rsid w:val="443D75B7"/>
    <w:rsid w:val="4485206A"/>
    <w:rsid w:val="44864D93"/>
    <w:rsid w:val="45EF1282"/>
    <w:rsid w:val="461151F4"/>
    <w:rsid w:val="47797024"/>
    <w:rsid w:val="48720FAD"/>
    <w:rsid w:val="48C7133F"/>
    <w:rsid w:val="48D04611"/>
    <w:rsid w:val="495F2AD9"/>
    <w:rsid w:val="496931B0"/>
    <w:rsid w:val="497227DF"/>
    <w:rsid w:val="4A7401EF"/>
    <w:rsid w:val="4A7A35A7"/>
    <w:rsid w:val="4A88306D"/>
    <w:rsid w:val="4B4240C9"/>
    <w:rsid w:val="4B8B691B"/>
    <w:rsid w:val="4BD749F4"/>
    <w:rsid w:val="4C5707FC"/>
    <w:rsid w:val="4CF35227"/>
    <w:rsid w:val="4D607B5C"/>
    <w:rsid w:val="4D9439C1"/>
    <w:rsid w:val="4F0020F8"/>
    <w:rsid w:val="4F0D5C1C"/>
    <w:rsid w:val="4F71439C"/>
    <w:rsid w:val="50CE607F"/>
    <w:rsid w:val="53526F6D"/>
    <w:rsid w:val="53F80D46"/>
    <w:rsid w:val="543D4EC2"/>
    <w:rsid w:val="55076B99"/>
    <w:rsid w:val="55927B3D"/>
    <w:rsid w:val="57677AA1"/>
    <w:rsid w:val="57987496"/>
    <w:rsid w:val="57B31803"/>
    <w:rsid w:val="58F51E32"/>
    <w:rsid w:val="58FF3EE2"/>
    <w:rsid w:val="591E32EB"/>
    <w:rsid w:val="595C41C3"/>
    <w:rsid w:val="5A2A13DF"/>
    <w:rsid w:val="5A4F630B"/>
    <w:rsid w:val="5AEF7B37"/>
    <w:rsid w:val="5B490617"/>
    <w:rsid w:val="5B722BF5"/>
    <w:rsid w:val="5BCF53BC"/>
    <w:rsid w:val="5C2B38A9"/>
    <w:rsid w:val="5DEA07CA"/>
    <w:rsid w:val="5E711547"/>
    <w:rsid w:val="5EB8282C"/>
    <w:rsid w:val="5ED53C40"/>
    <w:rsid w:val="5EE23D44"/>
    <w:rsid w:val="5FD84636"/>
    <w:rsid w:val="5FF70D04"/>
    <w:rsid w:val="6056754D"/>
    <w:rsid w:val="60A06F75"/>
    <w:rsid w:val="60CC1F06"/>
    <w:rsid w:val="60E825ED"/>
    <w:rsid w:val="60E844ED"/>
    <w:rsid w:val="613D489C"/>
    <w:rsid w:val="618259DD"/>
    <w:rsid w:val="61E82440"/>
    <w:rsid w:val="621621B2"/>
    <w:rsid w:val="62E42D0A"/>
    <w:rsid w:val="63DD7E4C"/>
    <w:rsid w:val="66921252"/>
    <w:rsid w:val="672F3A28"/>
    <w:rsid w:val="67524660"/>
    <w:rsid w:val="68832276"/>
    <w:rsid w:val="6892194E"/>
    <w:rsid w:val="68C05739"/>
    <w:rsid w:val="693544AD"/>
    <w:rsid w:val="69BC04F5"/>
    <w:rsid w:val="69E3042A"/>
    <w:rsid w:val="6A5D61CD"/>
    <w:rsid w:val="6ACA60FE"/>
    <w:rsid w:val="6ACC412D"/>
    <w:rsid w:val="6AE84E7A"/>
    <w:rsid w:val="6AF501E8"/>
    <w:rsid w:val="6AFB545A"/>
    <w:rsid w:val="6B1D72D1"/>
    <w:rsid w:val="6B6431B6"/>
    <w:rsid w:val="6C6369A3"/>
    <w:rsid w:val="6DCC7DF8"/>
    <w:rsid w:val="6F5035A9"/>
    <w:rsid w:val="700F6E71"/>
    <w:rsid w:val="704B2FA1"/>
    <w:rsid w:val="70A60074"/>
    <w:rsid w:val="70D3655C"/>
    <w:rsid w:val="724A78A9"/>
    <w:rsid w:val="72716092"/>
    <w:rsid w:val="72A44D28"/>
    <w:rsid w:val="74452178"/>
    <w:rsid w:val="74D93CA4"/>
    <w:rsid w:val="74EB7FAF"/>
    <w:rsid w:val="750764BF"/>
    <w:rsid w:val="769434D6"/>
    <w:rsid w:val="76CE23DB"/>
    <w:rsid w:val="77572E96"/>
    <w:rsid w:val="775A7CAB"/>
    <w:rsid w:val="775D3526"/>
    <w:rsid w:val="776553F5"/>
    <w:rsid w:val="778D6190"/>
    <w:rsid w:val="77A7539C"/>
    <w:rsid w:val="77AE7717"/>
    <w:rsid w:val="77CE56CA"/>
    <w:rsid w:val="78E32576"/>
    <w:rsid w:val="7A0245AB"/>
    <w:rsid w:val="7A4672E8"/>
    <w:rsid w:val="7A82432A"/>
    <w:rsid w:val="7A9B14FD"/>
    <w:rsid w:val="7B441BF1"/>
    <w:rsid w:val="7CDA759A"/>
    <w:rsid w:val="7CDB239C"/>
    <w:rsid w:val="7CE52096"/>
    <w:rsid w:val="7CED52C0"/>
    <w:rsid w:val="7E725A83"/>
    <w:rsid w:val="7ED456AF"/>
    <w:rsid w:val="7ED56DC2"/>
    <w:rsid w:val="7ED97B4E"/>
    <w:rsid w:val="7EDA3862"/>
    <w:rsid w:val="7F860DA2"/>
    <w:rsid w:val="7F8C6CAC"/>
    <w:rsid w:val="7F9F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100" w:after="100" w:line="36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100"/>
      <w:outlineLvl w:val="1"/>
    </w:pPr>
    <w:rPr>
      <w:rFonts w:hAnsi="宋体"/>
      <w:b/>
      <w:sz w:val="28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6"/>
    <w:qFormat/>
    <w:uiPriority w:val="0"/>
    <w:pPr>
      <w:keepNext/>
      <w:numPr>
        <w:ilvl w:val="3"/>
        <w:numId w:val="1"/>
      </w:numPr>
      <w:spacing w:line="400" w:lineRule="exact"/>
      <w:outlineLvl w:val="3"/>
    </w:pPr>
    <w:rPr>
      <w:sz w:val="28"/>
    </w:rPr>
  </w:style>
  <w:style w:type="paragraph" w:styleId="7">
    <w:name w:val="heading 5"/>
    <w:basedOn w:val="1"/>
    <w:next w:val="6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sz w:val="28"/>
    </w:rPr>
  </w:style>
  <w:style w:type="paragraph" w:styleId="8">
    <w:name w:val="heading 6"/>
    <w:basedOn w:val="1"/>
    <w:next w:val="6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</w:rPr>
  </w:style>
  <w:style w:type="paragraph" w:styleId="9">
    <w:name w:val="heading 7"/>
    <w:basedOn w:val="1"/>
    <w:next w:val="6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</w:rPr>
  </w:style>
  <w:style w:type="paragraph" w:styleId="10">
    <w:name w:val="heading 8"/>
    <w:basedOn w:val="1"/>
    <w:next w:val="6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</w:rPr>
  </w:style>
  <w:style w:type="paragraph" w:styleId="11">
    <w:name w:val="heading 9"/>
    <w:basedOn w:val="1"/>
    <w:next w:val="6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 w:val="21"/>
    </w:rPr>
  </w:style>
  <w:style w:type="character" w:default="1" w:styleId="36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12">
    <w:name w:val="toc 7"/>
    <w:basedOn w:val="1"/>
    <w:next w:val="1"/>
    <w:semiHidden/>
    <w:qFormat/>
    <w:uiPriority w:val="0"/>
    <w:pPr>
      <w:ind w:left="2520"/>
    </w:pPr>
  </w:style>
  <w:style w:type="paragraph" w:styleId="13">
    <w:name w:val="Document Map"/>
    <w:basedOn w:val="1"/>
    <w:semiHidden/>
    <w:qFormat/>
    <w:uiPriority w:val="0"/>
    <w:pPr>
      <w:shd w:val="clear" w:color="auto" w:fill="000080"/>
    </w:pPr>
  </w:style>
  <w:style w:type="paragraph" w:styleId="14">
    <w:name w:val="annotation text"/>
    <w:basedOn w:val="1"/>
    <w:semiHidden/>
    <w:unhideWhenUsed/>
    <w:qFormat/>
    <w:uiPriority w:val="0"/>
    <w:pPr>
      <w:jc w:val="left"/>
    </w:pPr>
  </w:style>
  <w:style w:type="paragraph" w:styleId="15">
    <w:name w:val="Body Text 3"/>
    <w:basedOn w:val="1"/>
    <w:qFormat/>
    <w:uiPriority w:val="0"/>
    <w:rPr>
      <w:rFonts w:ascii="仿宋_GB2312" w:eastAsia="仿宋_GB2312"/>
      <w:sz w:val="28"/>
    </w:rPr>
  </w:style>
  <w:style w:type="paragraph" w:styleId="16">
    <w:name w:val="Body Text"/>
    <w:basedOn w:val="1"/>
    <w:qFormat/>
    <w:uiPriority w:val="0"/>
    <w:rPr>
      <w:rFonts w:eastAsia="仿宋_GB2312"/>
    </w:rPr>
  </w:style>
  <w:style w:type="paragraph" w:styleId="17">
    <w:name w:val="Body Text Indent"/>
    <w:basedOn w:val="1"/>
    <w:qFormat/>
    <w:uiPriority w:val="0"/>
    <w:pPr>
      <w:ind w:left="420"/>
    </w:pPr>
    <w:rPr>
      <w:rFonts w:eastAsia="仿宋_GB2312"/>
      <w:sz w:val="28"/>
    </w:rPr>
  </w:style>
  <w:style w:type="paragraph" w:styleId="18">
    <w:name w:val="toc 5"/>
    <w:basedOn w:val="1"/>
    <w:next w:val="1"/>
    <w:semiHidden/>
    <w:qFormat/>
    <w:uiPriority w:val="0"/>
    <w:pPr>
      <w:ind w:left="1680"/>
    </w:pPr>
  </w:style>
  <w:style w:type="paragraph" w:styleId="19">
    <w:name w:val="toc 3"/>
    <w:basedOn w:val="1"/>
    <w:next w:val="1"/>
    <w:semiHidden/>
    <w:qFormat/>
    <w:uiPriority w:val="0"/>
    <w:pPr>
      <w:ind w:left="840"/>
    </w:pPr>
  </w:style>
  <w:style w:type="paragraph" w:styleId="20">
    <w:name w:val="toc 8"/>
    <w:basedOn w:val="1"/>
    <w:next w:val="1"/>
    <w:semiHidden/>
    <w:qFormat/>
    <w:uiPriority w:val="0"/>
    <w:pPr>
      <w:ind w:left="2940"/>
    </w:pPr>
  </w:style>
  <w:style w:type="paragraph" w:styleId="21">
    <w:name w:val="Date"/>
    <w:basedOn w:val="1"/>
    <w:next w:val="1"/>
    <w:link w:val="46"/>
    <w:qFormat/>
    <w:uiPriority w:val="0"/>
    <w:rPr>
      <w:rFonts w:ascii="CG Times" w:hAnsi="CG Times"/>
      <w:sz w:val="28"/>
    </w:rPr>
  </w:style>
  <w:style w:type="paragraph" w:styleId="22">
    <w:name w:val="Body Text Indent 2"/>
    <w:basedOn w:val="1"/>
    <w:qFormat/>
    <w:uiPriority w:val="0"/>
    <w:pPr>
      <w:spacing w:line="560" w:lineRule="exact"/>
      <w:ind w:firstLine="425"/>
    </w:pPr>
    <w:rPr>
      <w:color w:val="FF00FF"/>
      <w:sz w:val="28"/>
    </w:rPr>
  </w:style>
  <w:style w:type="paragraph" w:styleId="23">
    <w:name w:val="Balloon Text"/>
    <w:basedOn w:val="1"/>
    <w:semiHidden/>
    <w:qFormat/>
    <w:uiPriority w:val="0"/>
    <w:rPr>
      <w:sz w:val="18"/>
      <w:szCs w:val="18"/>
    </w:rPr>
  </w:style>
  <w:style w:type="paragraph" w:styleId="2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6">
    <w:name w:val="toc 1"/>
    <w:basedOn w:val="1"/>
    <w:next w:val="1"/>
    <w:qFormat/>
    <w:uiPriority w:val="39"/>
  </w:style>
  <w:style w:type="paragraph" w:styleId="27">
    <w:name w:val="toc 4"/>
    <w:basedOn w:val="1"/>
    <w:next w:val="1"/>
    <w:semiHidden/>
    <w:qFormat/>
    <w:uiPriority w:val="0"/>
    <w:pPr>
      <w:ind w:left="1260"/>
    </w:pPr>
  </w:style>
  <w:style w:type="paragraph" w:styleId="28">
    <w:name w:val="toc 6"/>
    <w:basedOn w:val="1"/>
    <w:next w:val="1"/>
    <w:semiHidden/>
    <w:qFormat/>
    <w:uiPriority w:val="0"/>
    <w:pPr>
      <w:ind w:left="2100"/>
    </w:pPr>
  </w:style>
  <w:style w:type="paragraph" w:styleId="29">
    <w:name w:val="Body Text Indent 3"/>
    <w:basedOn w:val="1"/>
    <w:link w:val="43"/>
    <w:qFormat/>
    <w:uiPriority w:val="0"/>
    <w:pPr>
      <w:spacing w:line="560" w:lineRule="exact"/>
      <w:ind w:firstLine="420"/>
    </w:pPr>
    <w:rPr>
      <w:sz w:val="28"/>
    </w:rPr>
  </w:style>
  <w:style w:type="paragraph" w:styleId="30">
    <w:name w:val="toc 2"/>
    <w:basedOn w:val="1"/>
    <w:next w:val="1"/>
    <w:qFormat/>
    <w:uiPriority w:val="39"/>
    <w:pPr>
      <w:ind w:left="420"/>
    </w:pPr>
  </w:style>
  <w:style w:type="paragraph" w:styleId="31">
    <w:name w:val="toc 9"/>
    <w:basedOn w:val="1"/>
    <w:next w:val="1"/>
    <w:semiHidden/>
    <w:qFormat/>
    <w:uiPriority w:val="0"/>
    <w:pPr>
      <w:ind w:left="3360"/>
    </w:pPr>
  </w:style>
  <w:style w:type="paragraph" w:styleId="32">
    <w:name w:val="Body Text 2"/>
    <w:basedOn w:val="1"/>
    <w:qFormat/>
    <w:uiPriority w:val="0"/>
    <w:pPr>
      <w:jc w:val="center"/>
    </w:pPr>
    <w:rPr>
      <w:rFonts w:ascii="CG Times" w:hAnsi="CG Times" w:eastAsia="隶书"/>
      <w:b/>
      <w:sz w:val="52"/>
    </w:rPr>
  </w:style>
  <w:style w:type="paragraph" w:styleId="33">
    <w:name w:val="Title"/>
    <w:basedOn w:val="1"/>
    <w:next w:val="1"/>
    <w:qFormat/>
    <w:uiPriority w:val="0"/>
    <w:pPr>
      <w:spacing w:beforeLines="50" w:afterLines="50" w:line="300" w:lineRule="auto"/>
      <w:jc w:val="center"/>
    </w:pPr>
    <w:rPr>
      <w:rFonts w:ascii="Arial" w:hAnsi="Arial" w:eastAsia="宋体"/>
      <w:b/>
      <w:sz w:val="52"/>
    </w:rPr>
  </w:style>
  <w:style w:type="table" w:styleId="35">
    <w:name w:val="Table Grid"/>
    <w:basedOn w:val="3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7">
    <w:name w:val="page number"/>
    <w:basedOn w:val="36"/>
    <w:qFormat/>
    <w:uiPriority w:val="0"/>
  </w:style>
  <w:style w:type="character" w:styleId="38">
    <w:name w:val="FollowedHyperlink"/>
    <w:basedOn w:val="36"/>
    <w:qFormat/>
    <w:uiPriority w:val="0"/>
    <w:rPr>
      <w:color w:val="800080"/>
      <w:u w:val="single"/>
    </w:rPr>
  </w:style>
  <w:style w:type="character" w:styleId="39">
    <w:name w:val="Hyperlink"/>
    <w:basedOn w:val="36"/>
    <w:qFormat/>
    <w:uiPriority w:val="99"/>
    <w:rPr>
      <w:color w:val="0000FF"/>
      <w:u w:val="single"/>
    </w:rPr>
  </w:style>
  <w:style w:type="paragraph" w:customStyle="1" w:styleId="40">
    <w:name w:val="首行缩进正文"/>
    <w:basedOn w:val="1"/>
    <w:qFormat/>
    <w:uiPriority w:val="0"/>
    <w:pPr>
      <w:spacing w:line="360" w:lineRule="auto"/>
      <w:ind w:firstLine="480"/>
      <w:jc w:val="left"/>
    </w:pPr>
    <w:rPr>
      <w:rFonts w:ascii="黑体" w:eastAsia="宋体"/>
    </w:rPr>
  </w:style>
  <w:style w:type="paragraph" w:customStyle="1" w:styleId="41">
    <w:name w:val="表格文字"/>
    <w:basedOn w:val="1"/>
    <w:qFormat/>
    <w:uiPriority w:val="0"/>
    <w:rPr>
      <w:rFonts w:ascii="Times New Roman" w:eastAsia="宋体"/>
      <w:sz w:val="21"/>
      <w:szCs w:val="21"/>
    </w:rPr>
  </w:style>
  <w:style w:type="paragraph" w:styleId="42">
    <w:name w:val="List Paragraph"/>
    <w:basedOn w:val="1"/>
    <w:qFormat/>
    <w:uiPriority w:val="34"/>
    <w:pPr>
      <w:ind w:firstLine="420" w:firstLineChars="200"/>
    </w:pPr>
  </w:style>
  <w:style w:type="character" w:customStyle="1" w:styleId="43">
    <w:name w:val="正文文本缩进 3 Char"/>
    <w:basedOn w:val="36"/>
    <w:link w:val="29"/>
    <w:qFormat/>
    <w:uiPriority w:val="0"/>
    <w:rPr>
      <w:rFonts w:ascii="楷体_GB2312" w:eastAsia="楷体_GB2312"/>
      <w:kern w:val="2"/>
      <w:sz w:val="28"/>
    </w:rPr>
  </w:style>
  <w:style w:type="paragraph" w:customStyle="1" w:styleId="44">
    <w:name w:val="表格正文"/>
    <w:basedOn w:val="1"/>
    <w:qFormat/>
    <w:uiPriority w:val="0"/>
    <w:pPr>
      <w:widowControl/>
      <w:overflowPunct w:val="0"/>
      <w:autoSpaceDE w:val="0"/>
      <w:autoSpaceDN w:val="0"/>
      <w:adjustRightInd w:val="0"/>
      <w:spacing w:line="320" w:lineRule="exact"/>
      <w:jc w:val="left"/>
    </w:pPr>
    <w:rPr>
      <w:rFonts w:hAnsi="宋体"/>
      <w:color w:val="FF0000"/>
      <w:kern w:val="0"/>
      <w:sz w:val="21"/>
      <w:szCs w:val="21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46">
    <w:name w:val="日期 Char"/>
    <w:link w:val="21"/>
    <w:qFormat/>
    <w:uiPriority w:val="0"/>
    <w:rPr>
      <w:rFonts w:ascii="CG Times" w:hAnsi="CG Times" w:eastAsia="楷体_GB2312"/>
      <w:kern w:val="2"/>
      <w:sz w:val="28"/>
    </w:rPr>
  </w:style>
  <w:style w:type="character" w:customStyle="1" w:styleId="47">
    <w:name w:val="font31"/>
    <w:basedOn w:val="36"/>
    <w:qFormat/>
    <w:uiPriority w:val="0"/>
    <w:rPr>
      <w:rFonts w:hint="eastAsia" w:ascii="华文细黑" w:hAnsi="华文细黑" w:eastAsia="华文细黑" w:cs="华文细黑"/>
      <w:color w:val="000000"/>
      <w:sz w:val="24"/>
      <w:szCs w:val="24"/>
      <w:u w:val="none"/>
    </w:rPr>
  </w:style>
  <w:style w:type="character" w:customStyle="1" w:styleId="48">
    <w:name w:val="font11"/>
    <w:basedOn w:val="36"/>
    <w:qFormat/>
    <w:uiPriority w:val="0"/>
    <w:rPr>
      <w:rFonts w:hint="eastAsia" w:ascii="华文细黑" w:hAnsi="华文细黑" w:eastAsia="华文细黑" w:cs="华文细黑"/>
      <w:b/>
      <w:i/>
      <w:color w:val="000000"/>
      <w:sz w:val="24"/>
      <w:szCs w:val="24"/>
      <w:u w:val="none"/>
    </w:rPr>
  </w:style>
  <w:style w:type="character" w:customStyle="1" w:styleId="49">
    <w:name w:val="font21"/>
    <w:basedOn w:val="36"/>
    <w:qFormat/>
    <w:uiPriority w:val="0"/>
    <w:rPr>
      <w:rFonts w:hint="eastAsia" w:ascii="华文细黑" w:hAnsi="华文细黑" w:eastAsia="华文细黑" w:cs="华文细黑"/>
      <w:b/>
      <w:color w:val="000000"/>
      <w:sz w:val="24"/>
      <w:szCs w:val="24"/>
      <w:u w:val="none"/>
    </w:rPr>
  </w:style>
  <w:style w:type="character" w:customStyle="1" w:styleId="50">
    <w:name w:val="font01"/>
    <w:basedOn w:val="36"/>
    <w:qFormat/>
    <w:uiPriority w:val="0"/>
    <w:rPr>
      <w:rFonts w:hint="eastAsia" w:ascii="华文细黑" w:hAnsi="华文细黑" w:eastAsia="华文细黑" w:cs="华文细黑"/>
      <w:b/>
      <w:i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379174-3B45-4675-8DA1-9D34E7A15F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1006</Words>
  <Characters>5735</Characters>
  <Lines>47</Lines>
  <Paragraphs>13</Paragraphs>
  <TotalTime>17</TotalTime>
  <ScaleCrop>false</ScaleCrop>
  <LinksUpToDate>false</LinksUpToDate>
  <CharactersWithSpaces>6728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2020-05-28T07:44:00Z</dcterms:created>
  <dc:creator>中国证券登记结算有限责任公司</dc:creator>
  <cp:lastModifiedBy>user</cp:lastModifiedBy>
  <cp:lastPrinted>2020-05-21T06:13:00Z</cp:lastPrinted>
  <dcterms:modified xsi:type="dcterms:W3CDTF">2024-04-09T10:44:45Z</dcterms:modified>
  <dc:title>基金盘后业务第一次全网测试方案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