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jc w:val="center"/>
        <w:rPr>
          <w:rFonts w:hint="eastAsia" w:ascii="Times New Roman" w:eastAsiaTheme="majorEastAsia"/>
          <w:b/>
          <w:sz w:val="44"/>
          <w:szCs w:val="52"/>
        </w:rPr>
      </w:pPr>
      <w:bookmarkStart w:id="0" w:name="_Toc366574266"/>
      <w:r>
        <w:rPr>
          <w:rFonts w:hint="eastAsia" w:ascii="Times New Roman" w:eastAsiaTheme="majorEastAsia"/>
          <w:b/>
          <w:sz w:val="44"/>
          <w:szCs w:val="52"/>
          <w:lang w:eastAsia="zh-CN"/>
        </w:rPr>
        <w:t>中国结算基金</w:t>
      </w:r>
      <w:r>
        <w:rPr>
          <w:rFonts w:hint="eastAsia" w:ascii="Times New Roman" w:eastAsiaTheme="majorEastAsia"/>
          <w:b/>
          <w:sz w:val="44"/>
          <w:szCs w:val="52"/>
        </w:rPr>
        <w:t>中央数据交换平台</w:t>
      </w:r>
    </w:p>
    <w:p>
      <w:pPr>
        <w:spacing w:line="240" w:lineRule="auto"/>
        <w:ind w:firstLine="0"/>
        <w:jc w:val="center"/>
        <w:rPr>
          <w:rFonts w:hint="eastAsia" w:ascii="Times New Roman" w:eastAsiaTheme="majorEastAsia"/>
          <w:b/>
          <w:sz w:val="44"/>
          <w:szCs w:val="52"/>
          <w:lang w:eastAsia="zh-CN"/>
        </w:rPr>
      </w:pPr>
      <w:r>
        <w:rPr>
          <w:rFonts w:hint="eastAsia" w:ascii="Times New Roman" w:eastAsiaTheme="majorEastAsia"/>
          <w:b/>
          <w:sz w:val="44"/>
          <w:szCs w:val="52"/>
          <w:lang w:eastAsia="zh-CN"/>
        </w:rPr>
        <w:t>《基金行业数据集中备份接口规范</w:t>
      </w:r>
      <w:r>
        <w:rPr>
          <w:rFonts w:hint="eastAsia" w:ascii="Times New Roman" w:eastAsiaTheme="majorEastAsia"/>
          <w:b/>
          <w:sz w:val="44"/>
          <w:szCs w:val="52"/>
          <w:lang w:val="en-US" w:eastAsia="zh-CN"/>
        </w:rPr>
        <w:t>V2.2</w:t>
      </w:r>
      <w:r>
        <w:rPr>
          <w:rFonts w:hint="eastAsia" w:ascii="Times New Roman" w:eastAsiaTheme="majorEastAsia"/>
          <w:b/>
          <w:sz w:val="44"/>
          <w:szCs w:val="52"/>
          <w:lang w:eastAsia="zh-CN"/>
        </w:rPr>
        <w:t>》</w:t>
      </w:r>
    </w:p>
    <w:p>
      <w:pPr>
        <w:spacing w:line="240" w:lineRule="auto"/>
        <w:ind w:firstLine="0"/>
        <w:jc w:val="center"/>
        <w:rPr>
          <w:rFonts w:hint="eastAsia" w:ascii="Times New Roman" w:eastAsiaTheme="majorEastAsia"/>
          <w:b/>
          <w:sz w:val="44"/>
          <w:szCs w:val="52"/>
          <w:lang w:val="en-US" w:eastAsia="zh-CN"/>
        </w:rPr>
      </w:pPr>
      <w:r>
        <w:rPr>
          <w:rFonts w:hint="eastAsia" w:ascii="Times New Roman" w:eastAsiaTheme="majorEastAsia"/>
          <w:b/>
          <w:sz w:val="44"/>
          <w:szCs w:val="52"/>
          <w:lang w:val="en-US" w:eastAsia="zh-CN"/>
        </w:rPr>
        <w:t>技术帮助文档</w:t>
      </w:r>
    </w:p>
    <w:p>
      <w:pPr>
        <w:jc w:val="center"/>
        <w:rPr>
          <w:rFonts w:hint="eastAsia" w:eastAsiaTheme="majorEastAsia"/>
          <w:b/>
          <w:sz w:val="44"/>
          <w:szCs w:val="52"/>
          <w:lang w:val="en-US" w:eastAsia="zh-CN"/>
        </w:rPr>
      </w:pPr>
    </w:p>
    <w:p>
      <w:pPr>
        <w:jc w:val="center"/>
        <w:rPr>
          <w:rFonts w:hint="default" w:eastAsiaTheme="majorEastAsia"/>
          <w:b/>
          <w:sz w:val="44"/>
          <w:szCs w:val="52"/>
          <w:lang w:val="en-US" w:eastAsia="zh-CN"/>
        </w:rPr>
      </w:pPr>
    </w:p>
    <w:p>
      <w:pPr>
        <w:tabs>
          <w:tab w:val="left" w:pos="4200"/>
        </w:tabs>
        <w:jc w:val="center"/>
        <w:rPr>
          <w:b/>
          <w:sz w:val="36"/>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tabs>
          <w:tab w:val="left" w:pos="4200"/>
        </w:tabs>
        <w:jc w:val="center"/>
        <w:rPr>
          <w:b/>
          <w:sz w:val="30"/>
        </w:rPr>
      </w:pPr>
    </w:p>
    <w:p>
      <w:pPr>
        <w:spacing w:line="240" w:lineRule="auto"/>
        <w:ind w:firstLine="0"/>
        <w:jc w:val="center"/>
        <w:rPr>
          <w:rFonts w:hint="eastAsia" w:ascii="Times New Roman" w:eastAsia="仿宋"/>
          <w:b/>
          <w:sz w:val="32"/>
          <w:szCs w:val="30"/>
        </w:rPr>
      </w:pPr>
      <w:r>
        <w:rPr>
          <w:rFonts w:hint="eastAsia" w:ascii="Times New Roman" w:eastAsia="仿宋"/>
          <w:b/>
          <w:sz w:val="32"/>
          <w:szCs w:val="30"/>
        </w:rPr>
        <w:t>中国证券登记结算有限责任公司</w:t>
      </w:r>
    </w:p>
    <w:p>
      <w:pPr>
        <w:spacing w:line="240" w:lineRule="auto"/>
        <w:ind w:firstLine="0"/>
        <w:jc w:val="center"/>
        <w:rPr>
          <w:rFonts w:hint="eastAsia" w:ascii="Times New Roman" w:eastAsia="仿宋"/>
          <w:b/>
          <w:sz w:val="32"/>
          <w:szCs w:val="30"/>
        </w:rPr>
      </w:pPr>
      <w:r>
        <w:rPr>
          <w:rFonts w:hint="eastAsia" w:ascii="Times New Roman" w:eastAsia="仿宋"/>
          <w:b/>
          <w:sz w:val="32"/>
          <w:szCs w:val="30"/>
        </w:rPr>
        <w:t>二○二</w:t>
      </w:r>
      <w:r>
        <w:rPr>
          <w:rFonts w:hint="eastAsia" w:ascii="Times New Roman" w:eastAsia="仿宋"/>
          <w:b/>
          <w:sz w:val="32"/>
          <w:szCs w:val="30"/>
          <w:lang w:eastAsia="zh-CN"/>
        </w:rPr>
        <w:t>四</w:t>
      </w:r>
      <w:r>
        <w:rPr>
          <w:rFonts w:hint="eastAsia" w:ascii="Times New Roman" w:eastAsia="仿宋"/>
          <w:b/>
          <w:sz w:val="32"/>
          <w:szCs w:val="30"/>
        </w:rPr>
        <w:t>年</w:t>
      </w:r>
      <w:r>
        <w:rPr>
          <w:rFonts w:hint="eastAsia" w:ascii="Times New Roman" w:eastAsia="仿宋"/>
          <w:b/>
          <w:sz w:val="32"/>
          <w:szCs w:val="30"/>
          <w:lang w:val="en-US" w:eastAsia="zh-CN"/>
        </w:rPr>
        <w:t>三</w:t>
      </w:r>
      <w:r>
        <w:rPr>
          <w:rFonts w:hint="eastAsia" w:ascii="Times New Roman" w:eastAsia="仿宋"/>
          <w:b/>
          <w:sz w:val="32"/>
          <w:szCs w:val="30"/>
        </w:rPr>
        <w:t>月</w:t>
      </w:r>
    </w:p>
    <w:p>
      <w:pPr>
        <w:rPr>
          <w:sz w:val="30"/>
        </w:rPr>
      </w:pPr>
    </w:p>
    <w:p>
      <w:pPr>
        <w:rPr>
          <w:sz w:val="30"/>
        </w:rPr>
      </w:pPr>
    </w:p>
    <w:p>
      <w:pPr>
        <w:autoSpaceDE w:val="0"/>
        <w:autoSpaceDN w:val="0"/>
        <w:adjustRightInd w:val="0"/>
        <w:spacing w:before="326" w:beforeLines="100" w:after="163" w:afterLines="50"/>
        <w:ind w:firstLine="0"/>
        <w:jc w:val="center"/>
        <w:rPr>
          <w:rFonts w:hint="eastAsia" w:ascii="宋体" w:hAnsi="宋体" w:cs="仿宋_GB2312"/>
          <w:kern w:val="0"/>
          <w:sz w:val="44"/>
          <w:szCs w:val="24"/>
        </w:rPr>
      </w:pPr>
      <w:r>
        <w:rPr>
          <w:rFonts w:hint="eastAsia" w:ascii="宋体" w:hAnsi="宋体" w:cs="仿宋_GB2312"/>
          <w:kern w:val="0"/>
          <w:sz w:val="44"/>
          <w:szCs w:val="24"/>
        </w:rPr>
        <w:br w:type="page"/>
      </w:r>
    </w:p>
    <w:p>
      <w:pPr>
        <w:spacing w:line="560" w:lineRule="exact"/>
        <w:jc w:val="center"/>
        <w:rPr>
          <w:rFonts w:hint="eastAsia" w:ascii="Times New Roman" w:eastAsia="仿宋"/>
          <w:b/>
          <w:sz w:val="52"/>
        </w:rPr>
      </w:pPr>
      <w:r>
        <w:rPr>
          <w:rFonts w:hint="eastAsia" w:ascii="Times New Roman" w:eastAsia="仿宋"/>
          <w:b/>
          <w:sz w:val="52"/>
        </w:rPr>
        <w:t>目   录</w:t>
      </w:r>
    </w:p>
    <w:p>
      <w:pPr>
        <w:spacing w:line="560" w:lineRule="exact"/>
        <w:jc w:val="center"/>
        <w:rPr>
          <w:sz w:val="32"/>
        </w:rPr>
      </w:pPr>
    </w:p>
    <w:p>
      <w:pPr>
        <w:pStyle w:val="19"/>
        <w:tabs>
          <w:tab w:val="right" w:leader="dot" w:pos="8845"/>
        </w:tabs>
      </w:pPr>
      <w:bookmarkStart w:id="484" w:name="_GoBack"/>
      <w:bookmarkEnd w:id="484"/>
      <w:r>
        <w:fldChar w:fldCharType="begin"/>
      </w:r>
      <w:r>
        <w:instrText xml:space="preserve"> TOC \o "1-3" \h \z \u </w:instrText>
      </w:r>
      <w:r>
        <w:fldChar w:fldCharType="separate"/>
      </w:r>
      <w:r>
        <w:fldChar w:fldCharType="begin"/>
      </w:r>
      <w:r>
        <w:instrText xml:space="preserve"> HYPERLINK \l _Toc27839 </w:instrText>
      </w:r>
      <w:r>
        <w:fldChar w:fldCharType="separate"/>
      </w:r>
      <w:r>
        <w:rPr>
          <w:rFonts w:hint="eastAsia" w:ascii="Times New Roman" w:hAnsi="Times New Roman" w:eastAsia="黑体" w:cs="Times New Roman"/>
          <w:bCs w:val="0"/>
          <w:kern w:val="44"/>
          <w:szCs w:val="32"/>
          <w:lang w:eastAsia="zh-CN"/>
        </w:rPr>
        <w:t>一、报送说明</w:t>
      </w:r>
      <w:r>
        <w:tab/>
      </w:r>
      <w:r>
        <w:fldChar w:fldCharType="begin"/>
      </w:r>
      <w:r>
        <w:instrText xml:space="preserve"> PAGEREF _Toc27839 \h </w:instrText>
      </w:r>
      <w:r>
        <w:fldChar w:fldCharType="separate"/>
      </w:r>
      <w:r>
        <w:t>3</w:t>
      </w:r>
      <w:r>
        <w:fldChar w:fldCharType="end"/>
      </w:r>
      <w:r>
        <w:fldChar w:fldCharType="end"/>
      </w:r>
    </w:p>
    <w:p>
      <w:pPr>
        <w:pStyle w:val="19"/>
        <w:tabs>
          <w:tab w:val="right" w:leader="dot" w:pos="8845"/>
        </w:tabs>
      </w:pPr>
      <w:r>
        <w:fldChar w:fldCharType="begin"/>
      </w:r>
      <w:r>
        <w:instrText xml:space="preserve"> HYPERLINK \l _Toc8121 </w:instrText>
      </w:r>
      <w:r>
        <w:fldChar w:fldCharType="separate"/>
      </w:r>
      <w:r>
        <w:rPr>
          <w:rFonts w:hint="eastAsia" w:ascii="Times New Roman" w:hAnsi="Times New Roman" w:eastAsia="黑体" w:cs="Times New Roman"/>
          <w:bCs w:val="0"/>
          <w:kern w:val="44"/>
          <w:szCs w:val="32"/>
          <w:lang w:eastAsia="zh-CN"/>
        </w:rPr>
        <w:t>二、通信机制</w:t>
      </w:r>
      <w:r>
        <w:tab/>
      </w:r>
      <w:r>
        <w:fldChar w:fldCharType="begin"/>
      </w:r>
      <w:r>
        <w:instrText xml:space="preserve"> PAGEREF _Toc8121 \h </w:instrText>
      </w:r>
      <w:r>
        <w:fldChar w:fldCharType="separate"/>
      </w:r>
      <w:r>
        <w:t>4</w:t>
      </w:r>
      <w:r>
        <w:fldChar w:fldCharType="end"/>
      </w:r>
      <w:r>
        <w:fldChar w:fldCharType="end"/>
      </w:r>
    </w:p>
    <w:p>
      <w:pPr>
        <w:pStyle w:val="19"/>
        <w:tabs>
          <w:tab w:val="right" w:leader="dot" w:pos="8845"/>
        </w:tabs>
      </w:pPr>
      <w:r>
        <w:fldChar w:fldCharType="begin"/>
      </w:r>
      <w:r>
        <w:instrText xml:space="preserve"> HYPERLINK \l _Toc26037 </w:instrText>
      </w:r>
      <w:r>
        <w:fldChar w:fldCharType="separate"/>
      </w:r>
      <w:r>
        <w:rPr>
          <w:rFonts w:hint="eastAsia" w:ascii="Times New Roman" w:hAnsi="Times New Roman" w:eastAsia="黑体" w:cs="Times New Roman"/>
          <w:bCs w:val="0"/>
          <w:kern w:val="44"/>
          <w:szCs w:val="32"/>
          <w:lang w:eastAsia="zh-CN"/>
        </w:rPr>
        <w:t>三、数据拆分与压缩</w:t>
      </w:r>
      <w:r>
        <w:tab/>
      </w:r>
      <w:r>
        <w:fldChar w:fldCharType="begin"/>
      </w:r>
      <w:r>
        <w:instrText xml:space="preserve"> PAGEREF _Toc26037 \h </w:instrText>
      </w:r>
      <w:r>
        <w:fldChar w:fldCharType="separate"/>
      </w:r>
      <w:r>
        <w:t>4</w:t>
      </w:r>
      <w:r>
        <w:fldChar w:fldCharType="end"/>
      </w:r>
      <w:r>
        <w:fldChar w:fldCharType="end"/>
      </w:r>
    </w:p>
    <w:p>
      <w:pPr>
        <w:pStyle w:val="19"/>
        <w:tabs>
          <w:tab w:val="right" w:leader="dot" w:pos="8845"/>
        </w:tabs>
      </w:pPr>
      <w:r>
        <w:fldChar w:fldCharType="begin"/>
      </w:r>
      <w:r>
        <w:instrText xml:space="preserve"> HYPERLINK \l _Toc566 </w:instrText>
      </w:r>
      <w:r>
        <w:fldChar w:fldCharType="separate"/>
      </w:r>
      <w:r>
        <w:rPr>
          <w:rFonts w:hint="eastAsia" w:ascii="Times New Roman" w:hAnsi="Times New Roman" w:eastAsia="黑体" w:cs="Times New Roman"/>
          <w:bCs w:val="0"/>
          <w:kern w:val="44"/>
          <w:szCs w:val="32"/>
          <w:lang w:eastAsia="zh-CN"/>
        </w:rPr>
        <w:t>四、数据重传机制</w:t>
      </w:r>
      <w:r>
        <w:tab/>
      </w:r>
      <w:r>
        <w:fldChar w:fldCharType="begin"/>
      </w:r>
      <w:r>
        <w:instrText xml:space="preserve"> PAGEREF _Toc566 \h </w:instrText>
      </w:r>
      <w:r>
        <w:fldChar w:fldCharType="separate"/>
      </w:r>
      <w:r>
        <w:t>5</w:t>
      </w:r>
      <w:r>
        <w:fldChar w:fldCharType="end"/>
      </w:r>
      <w:r>
        <w:fldChar w:fldCharType="end"/>
      </w:r>
    </w:p>
    <w:p>
      <w:pPr>
        <w:pStyle w:val="19"/>
        <w:tabs>
          <w:tab w:val="right" w:leader="dot" w:pos="8845"/>
        </w:tabs>
      </w:pPr>
      <w:r>
        <w:fldChar w:fldCharType="begin"/>
      </w:r>
      <w:r>
        <w:instrText xml:space="preserve"> HYPERLINK \l _Toc32709 </w:instrText>
      </w:r>
      <w:r>
        <w:fldChar w:fldCharType="separate"/>
      </w:r>
      <w:r>
        <w:rPr>
          <w:rFonts w:hint="eastAsia" w:ascii="Times New Roman" w:hAnsi="Times New Roman" w:eastAsia="黑体" w:cs="Times New Roman"/>
          <w:bCs w:val="0"/>
          <w:kern w:val="44"/>
          <w:szCs w:val="32"/>
          <w:lang w:eastAsia="zh-CN"/>
        </w:rPr>
        <w:t>五、数据校验机制</w:t>
      </w:r>
      <w:r>
        <w:tab/>
      </w:r>
      <w:r>
        <w:fldChar w:fldCharType="begin"/>
      </w:r>
      <w:r>
        <w:instrText xml:space="preserve"> PAGEREF _Toc32709 \h </w:instrText>
      </w:r>
      <w:r>
        <w:fldChar w:fldCharType="separate"/>
      </w:r>
      <w:r>
        <w:t>6</w:t>
      </w:r>
      <w:r>
        <w:fldChar w:fldCharType="end"/>
      </w:r>
      <w:r>
        <w:fldChar w:fldCharType="end"/>
      </w:r>
    </w:p>
    <w:p>
      <w:pPr>
        <w:pStyle w:val="21"/>
        <w:tabs>
          <w:tab w:val="right" w:leader="dot" w:pos="8845"/>
        </w:tabs>
      </w:pPr>
      <w:r>
        <w:fldChar w:fldCharType="begin"/>
      </w:r>
      <w:r>
        <w:instrText xml:space="preserve"> HYPERLINK \l _Toc29332 </w:instrText>
      </w:r>
      <w:r>
        <w:fldChar w:fldCharType="separate"/>
      </w:r>
      <w:r>
        <w:rPr>
          <w:rFonts w:hint="eastAsia" w:ascii="Times New Roman" w:hAnsi="宋体" w:eastAsia="楷体" w:cs="Times New Roman"/>
          <w:bCs w:val="0"/>
          <w:strike w:val="0"/>
          <w:kern w:val="2"/>
          <w:szCs w:val="20"/>
          <w:lang w:val="en-US" w:eastAsia="zh-CN"/>
        </w:rPr>
        <w:t>（一）数据格式校验</w:t>
      </w:r>
      <w:r>
        <w:tab/>
      </w:r>
      <w:r>
        <w:fldChar w:fldCharType="begin"/>
      </w:r>
      <w:r>
        <w:instrText xml:space="preserve"> PAGEREF _Toc29332 \h </w:instrText>
      </w:r>
      <w:r>
        <w:fldChar w:fldCharType="separate"/>
      </w:r>
      <w:r>
        <w:t>6</w:t>
      </w:r>
      <w:r>
        <w:fldChar w:fldCharType="end"/>
      </w:r>
      <w:r>
        <w:fldChar w:fldCharType="end"/>
      </w:r>
    </w:p>
    <w:p>
      <w:pPr>
        <w:pStyle w:val="21"/>
        <w:tabs>
          <w:tab w:val="right" w:leader="dot" w:pos="8845"/>
        </w:tabs>
      </w:pPr>
      <w:r>
        <w:fldChar w:fldCharType="begin"/>
      </w:r>
      <w:r>
        <w:instrText xml:space="preserve"> HYPERLINK \l _Toc27043 </w:instrText>
      </w:r>
      <w:r>
        <w:fldChar w:fldCharType="separate"/>
      </w:r>
      <w:r>
        <w:rPr>
          <w:rFonts w:hint="eastAsia" w:ascii="Times New Roman" w:hAnsi="宋体" w:eastAsia="楷体" w:cs="Times New Roman"/>
          <w:bCs w:val="0"/>
          <w:strike w:val="0"/>
          <w:kern w:val="2"/>
          <w:szCs w:val="20"/>
          <w:lang w:val="en-US" w:eastAsia="zh-CN"/>
        </w:rPr>
        <w:t>（二）</w:t>
      </w:r>
      <w:r>
        <w:rPr>
          <w:rFonts w:hint="eastAsia" w:ascii="Times New Roman" w:hAnsi="宋体" w:eastAsia="楷体" w:cs="Times New Roman"/>
          <w:bCs w:val="0"/>
          <w:szCs w:val="20"/>
          <w:lang w:val="en-US" w:eastAsia="zh-CN"/>
        </w:rPr>
        <w:t>校验结果反馈</w:t>
      </w:r>
      <w:r>
        <w:tab/>
      </w:r>
      <w:r>
        <w:fldChar w:fldCharType="begin"/>
      </w:r>
      <w:r>
        <w:instrText xml:space="preserve"> PAGEREF _Toc27043 \h </w:instrText>
      </w:r>
      <w:r>
        <w:fldChar w:fldCharType="separate"/>
      </w:r>
      <w:r>
        <w:t>7</w:t>
      </w:r>
      <w:r>
        <w:fldChar w:fldCharType="end"/>
      </w:r>
      <w:r>
        <w:fldChar w:fldCharType="end"/>
      </w:r>
    </w:p>
    <w:p>
      <w:pPr>
        <w:pStyle w:val="19"/>
        <w:tabs>
          <w:tab w:val="right" w:leader="dot" w:pos="8845"/>
        </w:tabs>
      </w:pPr>
      <w:r>
        <w:fldChar w:fldCharType="begin"/>
      </w:r>
      <w:r>
        <w:instrText xml:space="preserve"> HYPERLINK \l _Toc8240 </w:instrText>
      </w:r>
      <w:r>
        <w:fldChar w:fldCharType="separate"/>
      </w:r>
      <w:r>
        <w:rPr>
          <w:rFonts w:hint="eastAsia" w:ascii="Times New Roman" w:hAnsi="Times New Roman" w:eastAsia="黑体" w:cs="Times New Roman"/>
          <w:bCs w:val="0"/>
          <w:kern w:val="44"/>
          <w:szCs w:val="32"/>
          <w:lang w:eastAsia="zh-CN"/>
        </w:rPr>
        <w:t>六、数据文件报送说明</w:t>
      </w:r>
      <w:r>
        <w:tab/>
      </w:r>
      <w:r>
        <w:fldChar w:fldCharType="begin"/>
      </w:r>
      <w:r>
        <w:instrText xml:space="preserve"> PAGEREF _Toc8240 \h </w:instrText>
      </w:r>
      <w:r>
        <w:fldChar w:fldCharType="separate"/>
      </w:r>
      <w:r>
        <w:t>8</w:t>
      </w:r>
      <w:r>
        <w:fldChar w:fldCharType="end"/>
      </w:r>
      <w:r>
        <w:fldChar w:fldCharType="end"/>
      </w:r>
    </w:p>
    <w:p>
      <w:pPr>
        <w:pStyle w:val="21"/>
        <w:tabs>
          <w:tab w:val="right" w:leader="dot" w:pos="8845"/>
        </w:tabs>
      </w:pPr>
      <w:r>
        <w:fldChar w:fldCharType="begin"/>
      </w:r>
      <w:r>
        <w:instrText xml:space="preserve"> HYPERLINK \l _Toc19149 </w:instrText>
      </w:r>
      <w:r>
        <w:fldChar w:fldCharType="separate"/>
      </w:r>
      <w:r>
        <w:rPr>
          <w:rFonts w:hint="eastAsia" w:ascii="Times New Roman" w:hAnsi="宋体" w:eastAsia="楷体" w:cs="Times New Roman"/>
          <w:bCs w:val="0"/>
          <w:szCs w:val="20"/>
          <w:lang w:val="en-US" w:eastAsia="zh-CN"/>
        </w:rPr>
        <w:t>（一）账户确认（92/Z2）、账户增量对账（D2/U2）、账户全量对账（Q2/S2）</w:t>
      </w:r>
      <w:r>
        <w:tab/>
      </w:r>
      <w:r>
        <w:fldChar w:fldCharType="begin"/>
      </w:r>
      <w:r>
        <w:instrText xml:space="preserve"> PAGEREF _Toc19149 \h </w:instrText>
      </w:r>
      <w:r>
        <w:fldChar w:fldCharType="separate"/>
      </w:r>
      <w:r>
        <w:t>8</w:t>
      </w:r>
      <w:r>
        <w:fldChar w:fldCharType="end"/>
      </w:r>
      <w:r>
        <w:fldChar w:fldCharType="end"/>
      </w:r>
    </w:p>
    <w:p>
      <w:pPr>
        <w:pStyle w:val="21"/>
        <w:tabs>
          <w:tab w:val="right" w:leader="dot" w:pos="8845"/>
        </w:tabs>
      </w:pPr>
      <w:r>
        <w:fldChar w:fldCharType="begin"/>
      </w:r>
      <w:r>
        <w:instrText xml:space="preserve"> HYPERLINK \l _Toc15323 </w:instrText>
      </w:r>
      <w:r>
        <w:fldChar w:fldCharType="separate"/>
      </w:r>
      <w:r>
        <w:rPr>
          <w:rFonts w:hint="eastAsia" w:ascii="Times New Roman" w:hAnsi="宋体" w:eastAsia="楷体" w:cs="Times New Roman"/>
          <w:bCs w:val="0"/>
          <w:szCs w:val="20"/>
          <w:lang w:val="en-US" w:eastAsia="zh-CN"/>
        </w:rPr>
        <w:t>（二）交易确认（94/Z4）</w:t>
      </w:r>
      <w:r>
        <w:tab/>
      </w:r>
      <w:r>
        <w:fldChar w:fldCharType="begin"/>
      </w:r>
      <w:r>
        <w:instrText xml:space="preserve"> PAGEREF _Toc15323 \h </w:instrText>
      </w:r>
      <w:r>
        <w:fldChar w:fldCharType="separate"/>
      </w:r>
      <w:r>
        <w:t>10</w:t>
      </w:r>
      <w:r>
        <w:fldChar w:fldCharType="end"/>
      </w:r>
      <w:r>
        <w:fldChar w:fldCharType="end"/>
      </w:r>
    </w:p>
    <w:p>
      <w:pPr>
        <w:pStyle w:val="21"/>
        <w:tabs>
          <w:tab w:val="right" w:leader="dot" w:pos="8845"/>
        </w:tabs>
      </w:pPr>
      <w:r>
        <w:fldChar w:fldCharType="begin"/>
      </w:r>
      <w:r>
        <w:instrText xml:space="preserve"> HYPERLINK \l _Toc17135 </w:instrText>
      </w:r>
      <w:r>
        <w:fldChar w:fldCharType="separate"/>
      </w:r>
      <w:r>
        <w:rPr>
          <w:rFonts w:hint="eastAsia" w:ascii="Times New Roman" w:hAnsi="宋体" w:eastAsia="楷体" w:cs="Times New Roman"/>
          <w:bCs w:val="0"/>
          <w:szCs w:val="20"/>
          <w:lang w:val="en-US" w:eastAsia="zh-CN"/>
        </w:rPr>
        <w:t>（三）份额对账（95/Z5/Q5/S5）</w:t>
      </w:r>
      <w:r>
        <w:tab/>
      </w:r>
      <w:r>
        <w:fldChar w:fldCharType="begin"/>
      </w:r>
      <w:r>
        <w:instrText xml:space="preserve"> PAGEREF _Toc17135 \h </w:instrText>
      </w:r>
      <w:r>
        <w:fldChar w:fldCharType="separate"/>
      </w:r>
      <w:r>
        <w:t>12</w:t>
      </w:r>
      <w:r>
        <w:fldChar w:fldCharType="end"/>
      </w:r>
      <w:r>
        <w:fldChar w:fldCharType="end"/>
      </w:r>
    </w:p>
    <w:p>
      <w:pPr>
        <w:pStyle w:val="21"/>
        <w:tabs>
          <w:tab w:val="right" w:leader="dot" w:pos="8845"/>
        </w:tabs>
      </w:pPr>
      <w:r>
        <w:fldChar w:fldCharType="begin"/>
      </w:r>
      <w:r>
        <w:instrText xml:space="preserve"> HYPERLINK \l _Toc22573 </w:instrText>
      </w:r>
      <w:r>
        <w:fldChar w:fldCharType="separate"/>
      </w:r>
      <w:r>
        <w:rPr>
          <w:rFonts w:hint="eastAsia" w:ascii="Times New Roman" w:hAnsi="宋体" w:eastAsia="楷体" w:cs="Times New Roman"/>
          <w:bCs w:val="0"/>
          <w:szCs w:val="20"/>
          <w:lang w:val="en-US" w:eastAsia="zh-CN"/>
        </w:rPr>
        <w:t>（四）基金TA参数（T1/TM）</w:t>
      </w:r>
      <w:r>
        <w:tab/>
      </w:r>
      <w:r>
        <w:fldChar w:fldCharType="begin"/>
      </w:r>
      <w:r>
        <w:instrText xml:space="preserve"> PAGEREF _Toc22573 \h </w:instrText>
      </w:r>
      <w:r>
        <w:fldChar w:fldCharType="separate"/>
      </w:r>
      <w:r>
        <w:t>13</w:t>
      </w:r>
      <w:r>
        <w:fldChar w:fldCharType="end"/>
      </w:r>
      <w:r>
        <w:fldChar w:fldCharType="end"/>
      </w:r>
    </w:p>
    <w:p>
      <w:pPr>
        <w:pStyle w:val="21"/>
        <w:tabs>
          <w:tab w:val="right" w:leader="dot" w:pos="8845"/>
        </w:tabs>
      </w:pPr>
      <w:r>
        <w:fldChar w:fldCharType="begin"/>
      </w:r>
      <w:r>
        <w:instrText xml:space="preserve"> HYPERLINK \l _Toc11637 </w:instrText>
      </w:r>
      <w:r>
        <w:fldChar w:fldCharType="separate"/>
      </w:r>
      <w:r>
        <w:rPr>
          <w:rFonts w:hint="eastAsia" w:ascii="Times New Roman" w:hAnsi="宋体" w:eastAsia="楷体" w:cs="Times New Roman"/>
          <w:bCs w:val="0"/>
          <w:szCs w:val="20"/>
          <w:lang w:val="en-US" w:eastAsia="zh-CN"/>
        </w:rPr>
        <w:t>（五）基金运作信息（T2/TN）</w:t>
      </w:r>
      <w:r>
        <w:tab/>
      </w:r>
      <w:r>
        <w:fldChar w:fldCharType="begin"/>
      </w:r>
      <w:r>
        <w:instrText xml:space="preserve"> PAGEREF _Toc11637 \h </w:instrText>
      </w:r>
      <w:r>
        <w:fldChar w:fldCharType="separate"/>
      </w:r>
      <w:r>
        <w:t>14</w:t>
      </w:r>
      <w:r>
        <w:fldChar w:fldCharType="end"/>
      </w:r>
      <w:r>
        <w:fldChar w:fldCharType="end"/>
      </w:r>
    </w:p>
    <w:p>
      <w:pPr>
        <w:pStyle w:val="21"/>
        <w:tabs>
          <w:tab w:val="right" w:leader="dot" w:pos="8845"/>
        </w:tabs>
      </w:pPr>
      <w:r>
        <w:fldChar w:fldCharType="begin"/>
      </w:r>
      <w:r>
        <w:instrText xml:space="preserve"> HYPERLINK \l _Toc29001 </w:instrText>
      </w:r>
      <w:r>
        <w:fldChar w:fldCharType="separate"/>
      </w:r>
      <w:r>
        <w:rPr>
          <w:rFonts w:hint="eastAsia" w:ascii="Times New Roman" w:hAnsi="宋体" w:eastAsia="楷体" w:cs="Times New Roman"/>
          <w:bCs w:val="0"/>
          <w:szCs w:val="20"/>
          <w:lang w:val="en-US" w:eastAsia="zh-CN"/>
        </w:rPr>
        <w:t>（六）个人反洗钱信息（X1/XA/X6/XB）</w:t>
      </w:r>
      <w:r>
        <w:tab/>
      </w:r>
      <w:r>
        <w:fldChar w:fldCharType="begin"/>
      </w:r>
      <w:r>
        <w:instrText xml:space="preserve"> PAGEREF _Toc29001 \h </w:instrText>
      </w:r>
      <w:r>
        <w:fldChar w:fldCharType="separate"/>
      </w:r>
      <w:r>
        <w:t>14</w:t>
      </w:r>
      <w:r>
        <w:fldChar w:fldCharType="end"/>
      </w:r>
      <w:r>
        <w:fldChar w:fldCharType="end"/>
      </w:r>
    </w:p>
    <w:p>
      <w:pPr>
        <w:pStyle w:val="21"/>
        <w:tabs>
          <w:tab w:val="right" w:leader="dot" w:pos="8845"/>
        </w:tabs>
      </w:pPr>
      <w:r>
        <w:fldChar w:fldCharType="begin"/>
      </w:r>
      <w:r>
        <w:instrText xml:space="preserve"> HYPERLINK \l _Toc4788 </w:instrText>
      </w:r>
      <w:r>
        <w:fldChar w:fldCharType="separate"/>
      </w:r>
      <w:r>
        <w:rPr>
          <w:rFonts w:hint="eastAsia" w:ascii="Times New Roman" w:hAnsi="宋体" w:eastAsia="楷体" w:cs="Times New Roman"/>
          <w:bCs w:val="0"/>
          <w:szCs w:val="20"/>
          <w:lang w:val="en-US" w:eastAsia="zh-CN"/>
        </w:rPr>
        <w:t>（七）机构反洗钱信息（X3/XC/X8/XD）</w:t>
      </w:r>
      <w:r>
        <w:tab/>
      </w:r>
      <w:r>
        <w:fldChar w:fldCharType="begin"/>
      </w:r>
      <w:r>
        <w:instrText xml:space="preserve"> PAGEREF _Toc4788 \h </w:instrText>
      </w:r>
      <w:r>
        <w:fldChar w:fldCharType="separate"/>
      </w:r>
      <w:r>
        <w:t>14</w:t>
      </w:r>
      <w:r>
        <w:fldChar w:fldCharType="end"/>
      </w:r>
      <w:r>
        <w:fldChar w:fldCharType="end"/>
      </w:r>
    </w:p>
    <w:p>
      <w:pPr>
        <w:pStyle w:val="19"/>
        <w:tabs>
          <w:tab w:val="right" w:leader="dot" w:pos="8845"/>
        </w:tabs>
      </w:pPr>
      <w:r>
        <w:fldChar w:fldCharType="begin"/>
      </w:r>
      <w:r>
        <w:instrText xml:space="preserve"> HYPERLINK \l _Toc32748 </w:instrText>
      </w:r>
      <w:r>
        <w:fldChar w:fldCharType="separate"/>
      </w:r>
      <w:r>
        <w:rPr>
          <w:rFonts w:hint="eastAsia" w:ascii="Times New Roman" w:hAnsi="Times New Roman" w:eastAsia="黑体" w:cs="Times New Roman"/>
          <w:bCs w:val="0"/>
          <w:kern w:val="44"/>
          <w:szCs w:val="32"/>
          <w:lang w:eastAsia="zh-CN"/>
        </w:rPr>
        <w:t>七、测试与切换安排</w:t>
      </w:r>
      <w:r>
        <w:tab/>
      </w:r>
      <w:r>
        <w:fldChar w:fldCharType="begin"/>
      </w:r>
      <w:r>
        <w:instrText xml:space="preserve"> PAGEREF _Toc32748 \h </w:instrText>
      </w:r>
      <w:r>
        <w:fldChar w:fldCharType="separate"/>
      </w:r>
      <w:r>
        <w:t>15</w:t>
      </w:r>
      <w:r>
        <w:fldChar w:fldCharType="end"/>
      </w:r>
      <w:r>
        <w:fldChar w:fldCharType="end"/>
      </w:r>
    </w:p>
    <w:p>
      <w:pPr>
        <w:pStyle w:val="19"/>
        <w:tabs>
          <w:tab w:val="right" w:leader="dot" w:pos="8845"/>
        </w:tabs>
      </w:pPr>
      <w:r>
        <w:fldChar w:fldCharType="begin"/>
      </w:r>
      <w:r>
        <w:instrText xml:space="preserve"> HYPERLINK \l _Toc15182 </w:instrText>
      </w:r>
      <w:r>
        <w:fldChar w:fldCharType="separate"/>
      </w:r>
      <w:r>
        <w:rPr>
          <w:rFonts w:hint="eastAsia" w:ascii="Times New Roman" w:hAnsi="Times New Roman" w:eastAsia="黑体" w:cs="Times New Roman"/>
          <w:bCs w:val="0"/>
          <w:kern w:val="44"/>
          <w:szCs w:val="32"/>
          <w:lang w:eastAsia="zh-CN"/>
        </w:rPr>
        <w:t>八、本文档的更新</w:t>
      </w:r>
      <w:r>
        <w:tab/>
      </w:r>
      <w:r>
        <w:fldChar w:fldCharType="begin"/>
      </w:r>
      <w:r>
        <w:instrText xml:space="preserve"> PAGEREF _Toc15182 \h </w:instrText>
      </w:r>
      <w:r>
        <w:fldChar w:fldCharType="separate"/>
      </w:r>
      <w:r>
        <w:t>15</w:t>
      </w:r>
      <w:r>
        <w:fldChar w:fldCharType="end"/>
      </w:r>
      <w:r>
        <w:fldChar w:fldCharType="end"/>
      </w:r>
    </w:p>
    <w:p>
      <w:pPr>
        <w:pStyle w:val="19"/>
        <w:tabs>
          <w:tab w:val="right" w:leader="dot" w:pos="8845"/>
        </w:tabs>
      </w:pPr>
      <w:r>
        <w:fldChar w:fldCharType="begin"/>
      </w:r>
      <w:r>
        <w:instrText xml:space="preserve"> HYPERLINK \l _Toc22967 </w:instrText>
      </w:r>
      <w:r>
        <w:fldChar w:fldCharType="separate"/>
      </w:r>
      <w:r>
        <w:rPr>
          <w:rFonts w:hint="eastAsia" w:ascii="Times New Roman" w:hAnsi="Times New Roman" w:eastAsia="黑体" w:cs="Times New Roman"/>
          <w:bCs w:val="0"/>
          <w:kern w:val="44"/>
          <w:szCs w:val="32"/>
          <w:lang w:eastAsia="zh-CN"/>
        </w:rPr>
        <w:t>九、其它</w:t>
      </w:r>
      <w:r>
        <w:tab/>
      </w:r>
      <w:r>
        <w:fldChar w:fldCharType="begin"/>
      </w:r>
      <w:r>
        <w:instrText xml:space="preserve"> PAGEREF _Toc22967 \h </w:instrText>
      </w:r>
      <w:r>
        <w:fldChar w:fldCharType="separate"/>
      </w:r>
      <w:r>
        <w:t>15</w:t>
      </w:r>
      <w:r>
        <w:fldChar w:fldCharType="end"/>
      </w:r>
      <w:r>
        <w:fldChar w:fldCharType="end"/>
      </w:r>
    </w:p>
    <w:p>
      <w:pPr>
        <w:adjustRightInd w:val="0"/>
        <w:snapToGrid w:val="0"/>
        <w:spacing w:after="156" w:afterLines="50" w:line="240" w:lineRule="auto"/>
        <w:jc w:val="center"/>
        <w:rPr>
          <w:rFonts w:hint="eastAsia" w:ascii="Times New Roman" w:hAnsi="Times New Roman" w:eastAsia="宋体"/>
          <w:b/>
          <w:bCs/>
          <w:sz w:val="36"/>
        </w:rPr>
        <w:sectPr>
          <w:headerReference r:id="rId4" w:type="first"/>
          <w:headerReference r:id="rId3" w:type="default"/>
          <w:pgSz w:w="11906" w:h="16838"/>
          <w:pgMar w:top="2098" w:right="1474" w:bottom="1984" w:left="1587" w:header="1134" w:footer="992" w:gutter="0"/>
          <w:cols w:space="425" w:num="1"/>
          <w:titlePg/>
          <w:docGrid w:type="lines" w:linePitch="312" w:charSpace="0"/>
        </w:sectPr>
      </w:pPr>
      <w:r>
        <w:fldChar w:fldCharType="end"/>
      </w:r>
    </w:p>
    <w:bookmarkEnd w:id="0"/>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1" w:name="_Toc24377"/>
      <w:bookmarkStart w:id="2" w:name="_Toc30412"/>
      <w:bookmarkStart w:id="3" w:name="_Toc3277"/>
      <w:bookmarkStart w:id="4" w:name="_Toc20556"/>
      <w:bookmarkStart w:id="5" w:name="_Toc29091"/>
      <w:bookmarkStart w:id="6" w:name="_Toc14264"/>
      <w:bookmarkStart w:id="7" w:name="_Toc1517"/>
      <w:bookmarkStart w:id="8" w:name="_Toc5702"/>
      <w:bookmarkStart w:id="9" w:name="_Toc20576"/>
      <w:bookmarkStart w:id="10" w:name="_Toc12187"/>
      <w:bookmarkStart w:id="11" w:name="_Toc11659"/>
      <w:bookmarkStart w:id="12" w:name="_Toc16560"/>
      <w:bookmarkStart w:id="13" w:name="_Toc13893"/>
      <w:bookmarkStart w:id="14" w:name="_Toc12183"/>
      <w:bookmarkStart w:id="15" w:name="_Toc14294"/>
      <w:bookmarkStart w:id="16" w:name="_Toc22025"/>
      <w:bookmarkStart w:id="17" w:name="_Toc3881"/>
      <w:bookmarkStart w:id="18" w:name="_Toc28759"/>
      <w:bookmarkStart w:id="19" w:name="_Toc29509"/>
      <w:bookmarkStart w:id="20" w:name="_Toc19295"/>
      <w:bookmarkStart w:id="21" w:name="_Toc14323"/>
      <w:bookmarkStart w:id="22" w:name="_Toc10632"/>
      <w:bookmarkStart w:id="23" w:name="_Toc25870"/>
      <w:bookmarkStart w:id="24" w:name="_Toc10330"/>
      <w:bookmarkStart w:id="25" w:name="_Toc27839"/>
      <w:r>
        <w:rPr>
          <w:rFonts w:hint="eastAsia" w:ascii="Times New Roman" w:hAnsi="Times New Roman" w:eastAsia="黑体" w:cs="Times New Roman"/>
          <w:b w:val="0"/>
          <w:bCs w:val="0"/>
          <w:color w:val="4F81BD"/>
          <w:kern w:val="44"/>
          <w:sz w:val="32"/>
          <w:szCs w:val="32"/>
          <w:lang w:eastAsia="zh-CN"/>
        </w:rPr>
        <w:t>一、报送说明</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pPr>
        <w:widowControl/>
        <w:numPr>
          <w:ilvl w:val="-1"/>
          <w:numId w:val="0"/>
        </w:numPr>
        <w:autoSpaceDE/>
        <w:autoSpaceDN/>
        <w:adjustRightInd/>
        <w:spacing w:line="560" w:lineRule="exact"/>
        <w:ind w:firstLine="640" w:firstLineChars="200"/>
        <w:jc w:val="left"/>
        <w:rPr>
          <w:rFonts w:hint="eastAsia" w:ascii="Times New Roman" w:eastAsia="仿宋" w:cs="宋体"/>
          <w:strike w:val="0"/>
          <w:kern w:val="0"/>
          <w:sz w:val="32"/>
          <w:szCs w:val="32"/>
          <w:lang w:eastAsia="zh-CN"/>
        </w:rPr>
      </w:pPr>
      <w:r>
        <w:rPr>
          <w:rFonts w:hint="eastAsia" w:ascii="Times New Roman" w:eastAsia="仿宋" w:cs="宋体"/>
          <w:strike w:val="0"/>
          <w:kern w:val="0"/>
          <w:sz w:val="32"/>
          <w:szCs w:val="32"/>
          <w:lang w:eastAsia="zh-CN"/>
        </w:rPr>
        <w:t>份额登记机构应按照接口要求在报送有效期内进行每日数据报送，并通过中国结算基金中央数据交换平台（以下简称：中数平台）稽核校验。</w:t>
      </w:r>
    </w:p>
    <w:p>
      <w:pPr>
        <w:widowControl/>
        <w:numPr>
          <w:ilvl w:val="-1"/>
          <w:numId w:val="0"/>
        </w:numPr>
        <w:autoSpaceDE/>
        <w:autoSpaceDN/>
        <w:adjustRightInd/>
        <w:spacing w:line="560" w:lineRule="exact"/>
        <w:ind w:firstLine="640" w:firstLineChars="200"/>
        <w:jc w:val="left"/>
        <w:rPr>
          <w:rFonts w:hint="eastAsia" w:ascii="Times New Roman" w:eastAsia="仿宋" w:cs="宋体"/>
          <w:strike w:val="0"/>
          <w:kern w:val="0"/>
          <w:sz w:val="32"/>
          <w:szCs w:val="32"/>
          <w:lang w:eastAsia="zh-CN"/>
        </w:rPr>
      </w:pPr>
      <w:r>
        <w:rPr>
          <w:rFonts w:hint="eastAsia" w:ascii="Times New Roman" w:eastAsia="仿宋" w:cs="宋体"/>
          <w:strike w:val="0"/>
          <w:kern w:val="0"/>
          <w:sz w:val="32"/>
          <w:szCs w:val="32"/>
          <w:lang w:eastAsia="zh-CN"/>
        </w:rPr>
        <w:t>公募基金需</w:t>
      </w:r>
      <w:r>
        <w:rPr>
          <w:rFonts w:hint="eastAsia" w:ascii="Times New Roman" w:eastAsia="仿宋" w:cs="宋体"/>
          <w:b/>
          <w:bCs/>
          <w:strike w:val="0"/>
          <w:kern w:val="0"/>
          <w:sz w:val="32"/>
          <w:szCs w:val="32"/>
          <w:lang w:eastAsia="zh-CN"/>
        </w:rPr>
        <w:t>每日</w:t>
      </w:r>
      <w:r>
        <w:rPr>
          <w:rFonts w:hint="eastAsia" w:ascii="Times New Roman" w:eastAsia="仿宋" w:cs="宋体"/>
          <w:strike w:val="0"/>
          <w:kern w:val="0"/>
          <w:sz w:val="32"/>
          <w:szCs w:val="32"/>
          <w:lang w:eastAsia="zh-CN"/>
        </w:rPr>
        <w:t>报送增量数据（92/D2/94/95/96/X1/X3文件）和全量数据（T1/T2文件），增量指当日新增或变动的数据信息。内地互认基金在香港销售的，还需报送全量G1文件。</w:t>
      </w:r>
      <w:r>
        <w:rPr>
          <w:rFonts w:hint="eastAsia" w:ascii="Times New Roman" w:eastAsia="仿宋" w:cs="宋体"/>
          <w:b/>
          <w:bCs/>
          <w:strike w:val="0"/>
          <w:kern w:val="0"/>
          <w:sz w:val="32"/>
          <w:szCs w:val="32"/>
          <w:lang w:eastAsia="zh-CN"/>
        </w:rPr>
        <w:t>每半年</w:t>
      </w:r>
      <w:r>
        <w:rPr>
          <w:rFonts w:hint="eastAsia" w:ascii="Times New Roman" w:eastAsia="仿宋" w:cs="宋体"/>
          <w:strike w:val="0"/>
          <w:kern w:val="0"/>
          <w:sz w:val="32"/>
          <w:szCs w:val="32"/>
          <w:lang w:eastAsia="zh-CN"/>
        </w:rPr>
        <w:t>报送全量数据（Q2/Q5/X6/X8文件，格式同92/95/X1/X3，内容为全量，这些文件须全部同时报送，不能只报其中几个），且当日需同时报送92/D2/94/95/96/X1/X3增量数据和T1/T2全量数据。内地互认基金在香港销售的，还需报送全量G1文件。私募基金报送规则同公募基金。对同时登记公募和非公募基金的TA，文件均应按技术接口规范要求，同时报送TA登记的全部公、私募基金数据，文件名称应分别按照公、私募规则命名。</w:t>
      </w:r>
    </w:p>
    <w:p>
      <w:pPr>
        <w:widowControl/>
        <w:numPr>
          <w:ilvl w:val="-1"/>
          <w:numId w:val="0"/>
        </w:numPr>
        <w:autoSpaceDE/>
        <w:autoSpaceDN/>
        <w:adjustRightInd/>
        <w:spacing w:line="560" w:lineRule="exact"/>
        <w:ind w:firstLine="640" w:firstLineChars="200"/>
        <w:jc w:val="left"/>
        <w:rPr>
          <w:rFonts w:hint="eastAsia" w:ascii="Times New Roman" w:eastAsia="仿宋" w:cs="宋体"/>
          <w:b w:val="0"/>
          <w:bCs w:val="0"/>
          <w:color w:val="auto"/>
          <w:kern w:val="0"/>
          <w:sz w:val="32"/>
          <w:szCs w:val="32"/>
          <w:highlight w:val="none"/>
          <w:lang w:eastAsia="zh-CN"/>
        </w:rPr>
      </w:pPr>
      <w:r>
        <w:rPr>
          <w:rFonts w:hint="eastAsia" w:ascii="Times New Roman" w:eastAsia="仿宋" w:cs="宋体"/>
          <w:b w:val="0"/>
          <w:bCs w:val="0"/>
          <w:color w:val="auto"/>
          <w:kern w:val="0"/>
          <w:sz w:val="32"/>
          <w:szCs w:val="32"/>
          <w:highlight w:val="none"/>
          <w:lang w:eastAsia="zh-CN"/>
        </w:rPr>
        <w:t>份额登记机构进行文件</w:t>
      </w:r>
      <w:r>
        <w:rPr>
          <w:rFonts w:hint="eastAsia" w:ascii="Times New Roman" w:eastAsia="仿宋" w:cs="宋体"/>
          <w:strike w:val="0"/>
          <w:kern w:val="0"/>
          <w:sz w:val="32"/>
          <w:szCs w:val="32"/>
          <w:lang w:eastAsia="zh-CN"/>
        </w:rPr>
        <w:t>报送，需保证先上传数据文件，然后再上传索引文件。索引文件中申明的数据文件列表与实际上传文件一致，</w:t>
      </w:r>
      <w:r>
        <w:rPr>
          <w:rFonts w:hint="eastAsia" w:ascii="Times New Roman" w:hAnsi="Times New Roman" w:eastAsia="仿宋" w:cs="宋体"/>
          <w:b w:val="0"/>
          <w:bCs w:val="0"/>
          <w:kern w:val="0"/>
          <w:sz w:val="32"/>
          <w:szCs w:val="32"/>
        </w:rPr>
        <w:t>不</w:t>
      </w:r>
      <w:r>
        <w:rPr>
          <w:rFonts w:hint="eastAsia" w:ascii="Times New Roman" w:eastAsia="仿宋" w:cs="宋体"/>
          <w:b w:val="0"/>
          <w:bCs w:val="0"/>
          <w:color w:val="auto"/>
          <w:kern w:val="0"/>
          <w:sz w:val="32"/>
          <w:szCs w:val="32"/>
          <w:highlight w:val="none"/>
          <w:lang w:eastAsia="zh-CN"/>
        </w:rPr>
        <w:t>包含</w:t>
      </w:r>
      <w:r>
        <w:rPr>
          <w:rFonts w:hint="eastAsia" w:ascii="Times New Roman" w:hAnsi="Times New Roman" w:eastAsia="仿宋" w:cs="宋体"/>
          <w:b w:val="0"/>
          <w:bCs w:val="0"/>
          <w:kern w:val="0"/>
          <w:sz w:val="32"/>
          <w:szCs w:val="32"/>
        </w:rPr>
        <w:t>接口规范中未定义的</w:t>
      </w:r>
      <w:r>
        <w:rPr>
          <w:rFonts w:hint="eastAsia" w:ascii="Times New Roman" w:eastAsia="仿宋" w:cs="宋体"/>
          <w:b w:val="0"/>
          <w:bCs w:val="0"/>
          <w:color w:val="auto"/>
          <w:kern w:val="0"/>
          <w:sz w:val="32"/>
          <w:szCs w:val="32"/>
          <w:highlight w:val="none"/>
          <w:lang w:eastAsia="zh-CN"/>
        </w:rPr>
        <w:t>其它</w:t>
      </w:r>
      <w:r>
        <w:rPr>
          <w:rFonts w:hint="eastAsia" w:ascii="Times New Roman" w:hAnsi="Times New Roman" w:eastAsia="仿宋" w:cs="宋体"/>
          <w:b w:val="0"/>
          <w:bCs w:val="0"/>
          <w:kern w:val="0"/>
          <w:sz w:val="32"/>
          <w:szCs w:val="32"/>
        </w:rPr>
        <w:t>文件</w:t>
      </w:r>
      <w:r>
        <w:rPr>
          <w:rFonts w:hint="eastAsia" w:ascii="Times New Roman" w:eastAsia="仿宋" w:cs="宋体"/>
          <w:b w:val="0"/>
          <w:bCs w:val="0"/>
          <w:color w:val="auto"/>
          <w:kern w:val="0"/>
          <w:sz w:val="32"/>
          <w:szCs w:val="32"/>
          <w:highlight w:val="none"/>
          <w:lang w:eastAsia="zh-CN"/>
        </w:rPr>
        <w:t>名称。</w:t>
      </w:r>
    </w:p>
    <w:p>
      <w:pPr>
        <w:widowControl/>
        <w:numPr>
          <w:ilvl w:val="-1"/>
          <w:numId w:val="0"/>
        </w:numPr>
        <w:autoSpaceDE/>
        <w:autoSpaceDN/>
        <w:adjustRightInd/>
        <w:spacing w:line="560" w:lineRule="exact"/>
        <w:ind w:firstLine="643" w:firstLineChars="200"/>
        <w:jc w:val="left"/>
        <w:rPr>
          <w:rFonts w:hint="eastAsia" w:ascii="Times New Roman" w:eastAsia="仿宋" w:cs="宋体"/>
          <w:strike w:val="0"/>
          <w:kern w:val="0"/>
          <w:sz w:val="32"/>
          <w:szCs w:val="32"/>
          <w:lang w:eastAsia="zh-CN"/>
        </w:rPr>
      </w:pPr>
      <w:r>
        <w:rPr>
          <w:rFonts w:hint="eastAsia" w:ascii="Times New Roman" w:eastAsia="仿宋" w:cs="宋体"/>
          <w:b/>
          <w:bCs/>
          <w:kern w:val="0"/>
          <w:sz w:val="32"/>
          <w:szCs w:val="32"/>
          <w:lang w:eastAsia="zh-CN"/>
        </w:rPr>
        <w:t>无论当日有无数据，均</w:t>
      </w:r>
      <w:r>
        <w:rPr>
          <w:rFonts w:hint="eastAsia" w:ascii="Times New Roman" w:eastAsia="仿宋" w:cs="宋体"/>
          <w:b/>
          <w:bCs/>
          <w:strike w:val="0"/>
          <w:kern w:val="0"/>
          <w:sz w:val="32"/>
          <w:szCs w:val="32"/>
          <w:lang w:eastAsia="zh-CN"/>
        </w:rPr>
        <w:t>应报送索引文件及相应数据文件，表示当日已报送。</w:t>
      </w:r>
      <w:r>
        <w:rPr>
          <w:rFonts w:hint="eastAsia" w:ascii="Times New Roman" w:eastAsia="仿宋" w:cs="宋体"/>
          <w:b w:val="0"/>
          <w:bCs w:val="0"/>
          <w:kern w:val="0"/>
          <w:sz w:val="32"/>
          <w:szCs w:val="32"/>
          <w:lang w:eastAsia="zh-CN"/>
        </w:rPr>
        <w:t>如当日无数据须报送空数据文件（文件记录数为</w:t>
      </w:r>
      <w:r>
        <w:rPr>
          <w:rFonts w:hint="eastAsia" w:ascii="Times New Roman" w:eastAsia="仿宋" w:cs="宋体"/>
          <w:b w:val="0"/>
          <w:bCs w:val="0"/>
          <w:kern w:val="0"/>
          <w:sz w:val="32"/>
          <w:szCs w:val="32"/>
          <w:lang w:val="en-US" w:eastAsia="zh-CN"/>
        </w:rPr>
        <w:t>0</w:t>
      </w:r>
      <w:r>
        <w:rPr>
          <w:rFonts w:hint="eastAsia" w:ascii="Times New Roman" w:eastAsia="仿宋" w:cs="宋体"/>
          <w:b w:val="0"/>
          <w:bCs w:val="0"/>
          <w:kern w:val="0"/>
          <w:sz w:val="32"/>
          <w:szCs w:val="32"/>
          <w:lang w:eastAsia="zh-CN"/>
        </w:rPr>
        <w:t>）</w:t>
      </w:r>
      <w:r>
        <w:rPr>
          <w:rFonts w:hint="eastAsia" w:ascii="Times New Roman" w:hAnsi="Times New Roman" w:eastAsia="仿宋" w:cs="宋体"/>
          <w:b w:val="0"/>
          <w:bCs w:val="0"/>
          <w:kern w:val="0"/>
          <w:sz w:val="32"/>
          <w:szCs w:val="32"/>
        </w:rPr>
        <w:t>。截至最</w:t>
      </w:r>
      <w:r>
        <w:rPr>
          <w:rFonts w:hint="eastAsia" w:ascii="Times New Roman" w:eastAsia="仿宋" w:cs="宋体"/>
          <w:b w:val="0"/>
          <w:bCs w:val="0"/>
          <w:kern w:val="0"/>
          <w:sz w:val="32"/>
          <w:szCs w:val="32"/>
          <w:lang w:eastAsia="zh-CN"/>
        </w:rPr>
        <w:t>晚报送</w:t>
      </w:r>
      <w:r>
        <w:rPr>
          <w:rFonts w:hint="eastAsia" w:ascii="Times New Roman" w:hAnsi="Times New Roman" w:eastAsia="仿宋" w:cs="宋体"/>
          <w:b w:val="0"/>
          <w:bCs w:val="0"/>
          <w:kern w:val="0"/>
          <w:sz w:val="32"/>
          <w:szCs w:val="32"/>
        </w:rPr>
        <w:t>时点，若存在索引文件申明的数据文件列表与实际上传</w:t>
      </w:r>
      <w:r>
        <w:rPr>
          <w:rFonts w:hint="eastAsia" w:ascii="Times New Roman" w:eastAsia="仿宋" w:cs="宋体"/>
          <w:b w:val="0"/>
          <w:bCs w:val="0"/>
          <w:kern w:val="0"/>
          <w:sz w:val="32"/>
          <w:szCs w:val="32"/>
          <w:lang w:eastAsia="zh-CN"/>
        </w:rPr>
        <w:t>数据文件</w:t>
      </w:r>
      <w:r>
        <w:rPr>
          <w:rFonts w:hint="eastAsia" w:ascii="Times New Roman" w:hAnsi="Times New Roman" w:eastAsia="仿宋" w:cs="宋体"/>
          <w:b w:val="0"/>
          <w:bCs w:val="0"/>
          <w:kern w:val="0"/>
          <w:sz w:val="32"/>
          <w:szCs w:val="32"/>
        </w:rPr>
        <w:t>不一致</w:t>
      </w:r>
      <w:r>
        <w:rPr>
          <w:rFonts w:hint="eastAsia" w:ascii="Times New Roman" w:eastAsia="仿宋" w:cs="宋体"/>
          <w:b w:val="0"/>
          <w:bCs w:val="0"/>
          <w:kern w:val="0"/>
          <w:sz w:val="32"/>
          <w:szCs w:val="32"/>
          <w:lang w:eastAsia="zh-CN"/>
        </w:rPr>
        <w:t>、或</w:t>
      </w:r>
      <w:r>
        <w:rPr>
          <w:rFonts w:hint="eastAsia" w:ascii="Times New Roman" w:eastAsia="仿宋" w:cs="宋体"/>
          <w:strike w:val="0"/>
          <w:kern w:val="0"/>
          <w:sz w:val="32"/>
          <w:szCs w:val="32"/>
          <w:lang w:eastAsia="zh-CN"/>
        </w:rPr>
        <w:t>任一文件报送失败的情况，视为该</w:t>
      </w:r>
      <w:r>
        <w:rPr>
          <w:rFonts w:hint="eastAsia" w:ascii="Times New Roman" w:eastAsia="仿宋" w:cs="宋体"/>
          <w:strike w:val="0"/>
          <w:kern w:val="0"/>
          <w:sz w:val="32"/>
          <w:szCs w:val="32"/>
          <w:lang w:val="en-US" w:eastAsia="zh-CN"/>
        </w:rPr>
        <w:t>TA数据</w:t>
      </w:r>
      <w:r>
        <w:rPr>
          <w:rFonts w:hint="eastAsia" w:ascii="Times New Roman" w:eastAsia="仿宋" w:cs="宋体"/>
          <w:strike w:val="0"/>
          <w:kern w:val="0"/>
          <w:sz w:val="32"/>
          <w:szCs w:val="32"/>
          <w:lang w:eastAsia="zh-CN"/>
        </w:rPr>
        <w:t>报送中断，需按照</w:t>
      </w:r>
      <w:r>
        <w:rPr>
          <w:rFonts w:hint="eastAsia" w:ascii="Times New Roman" w:eastAsia="仿宋" w:cs="宋体"/>
          <w:b w:val="0"/>
          <w:bCs w:val="0"/>
          <w:strike w:val="0"/>
          <w:kern w:val="0"/>
          <w:sz w:val="32"/>
          <w:szCs w:val="32"/>
          <w:lang w:eastAsia="zh-CN"/>
        </w:rPr>
        <w:t>中数平台</w:t>
      </w:r>
      <w:r>
        <w:rPr>
          <w:rFonts w:hint="eastAsia" w:ascii="Times New Roman" w:eastAsia="仿宋" w:cs="宋体"/>
          <w:strike w:val="0"/>
          <w:kern w:val="0"/>
          <w:sz w:val="32"/>
          <w:szCs w:val="32"/>
          <w:lang w:eastAsia="zh-CN"/>
        </w:rPr>
        <w:t>数据</w:t>
      </w:r>
      <w:r>
        <w:rPr>
          <w:rFonts w:hint="eastAsia" w:ascii="Times New Roman" w:eastAsia="仿宋" w:cs="宋体"/>
          <w:b w:val="0"/>
          <w:bCs w:val="0"/>
          <w:strike w:val="0"/>
          <w:kern w:val="0"/>
          <w:sz w:val="32"/>
          <w:szCs w:val="32"/>
          <w:lang w:eastAsia="zh-CN"/>
        </w:rPr>
        <w:t>中断</w:t>
      </w:r>
      <w:r>
        <w:rPr>
          <w:rFonts w:hint="eastAsia" w:ascii="Times New Roman" w:eastAsia="仿宋" w:cs="宋体"/>
          <w:strike w:val="0"/>
          <w:kern w:val="0"/>
          <w:sz w:val="32"/>
          <w:szCs w:val="32"/>
          <w:lang w:eastAsia="zh-CN"/>
        </w:rPr>
        <w:t>处理流程进行</w:t>
      </w:r>
      <w:r>
        <w:rPr>
          <w:rFonts w:hint="eastAsia" w:ascii="Times New Roman" w:eastAsia="仿宋" w:cs="宋体"/>
          <w:b w:val="0"/>
          <w:bCs w:val="0"/>
          <w:strike w:val="0"/>
          <w:kern w:val="0"/>
          <w:sz w:val="32"/>
          <w:szCs w:val="32"/>
          <w:lang w:eastAsia="zh-CN"/>
        </w:rPr>
        <w:t>后续报送</w:t>
      </w:r>
      <w:r>
        <w:rPr>
          <w:rFonts w:hint="eastAsia" w:ascii="Times New Roman" w:eastAsia="仿宋" w:cs="宋体"/>
          <w:strike w:val="0"/>
          <w:kern w:val="0"/>
          <w:sz w:val="32"/>
          <w:szCs w:val="32"/>
          <w:lang w:eastAsia="zh-CN"/>
        </w:rPr>
        <w:t>。</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26" w:name="_Toc8477"/>
      <w:bookmarkStart w:id="27" w:name="_Toc14807"/>
      <w:bookmarkStart w:id="28" w:name="_Toc14214"/>
      <w:bookmarkStart w:id="29" w:name="_Toc254"/>
      <w:bookmarkStart w:id="30" w:name="_Toc25993"/>
      <w:bookmarkStart w:id="31" w:name="_Toc19012"/>
      <w:bookmarkStart w:id="32" w:name="_Toc12877"/>
      <w:bookmarkStart w:id="33" w:name="_Toc11275"/>
      <w:bookmarkStart w:id="34" w:name="_Toc31026"/>
      <w:bookmarkStart w:id="35" w:name="_Toc9666"/>
      <w:bookmarkStart w:id="36" w:name="_Toc30439"/>
      <w:bookmarkStart w:id="37" w:name="_Toc15091"/>
      <w:bookmarkStart w:id="38" w:name="_Toc18467"/>
      <w:bookmarkStart w:id="39" w:name="_Toc14089"/>
      <w:bookmarkStart w:id="40" w:name="_Toc7202"/>
      <w:bookmarkStart w:id="41" w:name="_Toc25518"/>
      <w:bookmarkStart w:id="42" w:name="_Toc6427"/>
      <w:bookmarkStart w:id="43" w:name="_Toc1315"/>
      <w:bookmarkStart w:id="44" w:name="_Toc4907"/>
      <w:bookmarkStart w:id="45" w:name="_Toc28537"/>
      <w:bookmarkStart w:id="46" w:name="_Toc18219"/>
      <w:bookmarkStart w:id="47" w:name="_Toc25071"/>
      <w:bookmarkStart w:id="48" w:name="_Toc30235"/>
      <w:bookmarkStart w:id="49" w:name="_Toc4522"/>
      <w:bookmarkStart w:id="50" w:name="_Toc8121"/>
      <w:r>
        <w:rPr>
          <w:rFonts w:hint="eastAsia" w:ascii="Times New Roman" w:hAnsi="Times New Roman" w:eastAsia="黑体" w:cs="Times New Roman"/>
          <w:b w:val="0"/>
          <w:bCs w:val="0"/>
          <w:color w:val="4F81BD"/>
          <w:kern w:val="44"/>
          <w:sz w:val="32"/>
          <w:szCs w:val="32"/>
          <w:lang w:eastAsia="zh-CN"/>
        </w:rPr>
        <w:t>二、通信机制</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eastAsia="zh-CN"/>
        </w:rPr>
      </w:pPr>
      <w:r>
        <w:rPr>
          <w:rFonts w:hint="eastAsia" w:ascii="Times New Roman" w:hAnsi="Times New Roman" w:eastAsia="仿宋" w:cs="宋体"/>
          <w:strike w:val="0"/>
          <w:kern w:val="0"/>
          <w:sz w:val="32"/>
          <w:szCs w:val="32"/>
          <w:lang w:eastAsia="zh-CN"/>
        </w:rPr>
        <w:t>参与人通过深证通FDEP软件</w:t>
      </w:r>
      <w:r>
        <w:rPr>
          <w:rFonts w:hint="eastAsia" w:ascii="Times New Roman" w:eastAsia="仿宋" w:cs="宋体"/>
          <w:strike w:val="0"/>
          <w:kern w:val="0"/>
          <w:sz w:val="32"/>
          <w:szCs w:val="32"/>
          <w:lang w:val="en-US" w:eastAsia="zh-CN"/>
        </w:rPr>
        <w:t>报送</w:t>
      </w:r>
      <w:r>
        <w:rPr>
          <w:rFonts w:hint="eastAsia" w:ascii="Times New Roman" w:hAnsi="Times New Roman" w:eastAsia="仿宋" w:cs="宋体"/>
          <w:strike w:val="0"/>
          <w:kern w:val="0"/>
          <w:sz w:val="32"/>
          <w:szCs w:val="32"/>
          <w:lang w:eastAsia="zh-CN"/>
        </w:rPr>
        <w:t>文件至</w:t>
      </w:r>
      <w:r>
        <w:rPr>
          <w:rFonts w:hint="eastAsia" w:ascii="Times New Roman" w:eastAsia="仿宋" w:cs="宋体"/>
          <w:strike w:val="0"/>
          <w:kern w:val="0"/>
          <w:sz w:val="32"/>
          <w:szCs w:val="32"/>
          <w:lang w:eastAsia="zh-CN"/>
        </w:rPr>
        <w:t>中数平台</w:t>
      </w:r>
      <w:r>
        <w:rPr>
          <w:rFonts w:hint="eastAsia" w:ascii="Times New Roman" w:hAnsi="Times New Roman" w:eastAsia="仿宋" w:cs="宋体"/>
          <w:strike w:val="0"/>
          <w:kern w:val="0"/>
          <w:sz w:val="32"/>
          <w:szCs w:val="32"/>
          <w:lang w:eastAsia="zh-CN"/>
        </w:rPr>
        <w:t>，</w:t>
      </w:r>
      <w:r>
        <w:rPr>
          <w:rFonts w:hint="eastAsia" w:ascii="Times New Roman" w:eastAsia="仿宋" w:cs="宋体"/>
          <w:strike w:val="0"/>
          <w:kern w:val="0"/>
          <w:sz w:val="32"/>
          <w:szCs w:val="32"/>
          <w:lang w:eastAsia="zh-CN"/>
        </w:rPr>
        <w:t>中数平台</w:t>
      </w:r>
      <w:r>
        <w:rPr>
          <w:rFonts w:hint="eastAsia" w:ascii="Times New Roman" w:hAnsi="Times New Roman" w:eastAsia="仿宋" w:cs="宋体"/>
          <w:strike w:val="0"/>
          <w:kern w:val="0"/>
          <w:sz w:val="32"/>
          <w:szCs w:val="32"/>
          <w:lang w:eastAsia="zh-CN"/>
        </w:rPr>
        <w:t>生产系统小站号</w:t>
      </w:r>
      <w:r>
        <w:rPr>
          <w:rFonts w:hint="eastAsia" w:ascii="Times New Roman" w:eastAsia="仿宋" w:cs="宋体"/>
          <w:strike w:val="0"/>
          <w:kern w:val="0"/>
          <w:sz w:val="32"/>
          <w:szCs w:val="32"/>
          <w:lang w:eastAsia="zh-CN"/>
        </w:rPr>
        <w:t>为</w:t>
      </w:r>
      <w:r>
        <w:rPr>
          <w:rFonts w:hint="eastAsia" w:ascii="Times New Roman" w:hAnsi="Times New Roman" w:eastAsia="仿宋" w:cs="宋体"/>
          <w:strike w:val="0"/>
          <w:kern w:val="0"/>
          <w:sz w:val="32"/>
          <w:szCs w:val="32"/>
          <w:lang w:eastAsia="zh-CN"/>
        </w:rPr>
        <w:t>：</w:t>
      </w:r>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eastAsia="zh-CN"/>
        </w:rPr>
        <w:t>集中备份文件：</w:t>
      </w:r>
      <w:r>
        <w:rPr>
          <w:rFonts w:hint="eastAsia" w:ascii="Times New Roman" w:hAnsi="Times New Roman" w:eastAsia="仿宋" w:cs="宋体"/>
          <w:strike w:val="0"/>
          <w:kern w:val="0"/>
          <w:sz w:val="32"/>
          <w:szCs w:val="32"/>
          <w:lang w:eastAsia="zh-CN"/>
        </w:rPr>
        <w:t>R_BEIJING02、</w:t>
      </w:r>
      <w:r>
        <w:rPr>
          <w:rFonts w:hint="eastAsia" w:ascii="Times New Roman" w:eastAsia="仿宋" w:cs="宋体"/>
          <w:strike w:val="0"/>
          <w:kern w:val="0"/>
          <w:sz w:val="32"/>
          <w:szCs w:val="32"/>
          <w:lang w:val="en-US" w:eastAsia="zh-CN"/>
        </w:rPr>
        <w:t>R_BEIJING15</w:t>
      </w:r>
      <w:r>
        <w:rPr>
          <w:rFonts w:hint="eastAsia" w:ascii="Times New Roman" w:hAnsi="Times New Roman" w:eastAsia="仿宋" w:cs="宋体"/>
          <w:strike w:val="0"/>
          <w:kern w:val="0"/>
          <w:sz w:val="32"/>
          <w:szCs w:val="32"/>
          <w:lang w:eastAsia="zh-CN"/>
        </w:rPr>
        <w:t>（</w:t>
      </w:r>
      <w:r>
        <w:rPr>
          <w:rFonts w:hint="eastAsia" w:ascii="Times New Roman" w:eastAsia="仿宋" w:cs="宋体"/>
          <w:strike w:val="0"/>
          <w:kern w:val="0"/>
          <w:sz w:val="32"/>
          <w:szCs w:val="32"/>
          <w:lang w:eastAsia="zh-CN"/>
        </w:rPr>
        <w:t>新增</w:t>
      </w:r>
      <w:r>
        <w:rPr>
          <w:rFonts w:hint="eastAsia" w:ascii="Times New Roman" w:hAnsi="Times New Roman" w:eastAsia="仿宋" w:cs="宋体"/>
          <w:strike w:val="0"/>
          <w:kern w:val="0"/>
          <w:sz w:val="32"/>
          <w:szCs w:val="32"/>
          <w:lang w:eastAsia="zh-CN"/>
        </w:rPr>
        <w:t>）</w:t>
      </w:r>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eastAsia="zh-CN"/>
        </w:rPr>
      </w:pPr>
      <w:r>
        <w:rPr>
          <w:rFonts w:hint="eastAsia" w:ascii="Times New Roman" w:eastAsia="仿宋" w:cs="宋体"/>
          <w:strike w:val="0"/>
          <w:kern w:val="0"/>
          <w:sz w:val="32"/>
          <w:szCs w:val="32"/>
          <w:lang w:val="en-US" w:eastAsia="zh-CN"/>
        </w:rPr>
        <w:t>互认G1文件：</w:t>
      </w:r>
      <w:r>
        <w:rPr>
          <w:rFonts w:hint="eastAsia" w:ascii="Times New Roman" w:hAnsi="Times New Roman" w:eastAsia="仿宋" w:cs="宋体"/>
          <w:strike w:val="0"/>
          <w:kern w:val="0"/>
          <w:sz w:val="32"/>
          <w:szCs w:val="32"/>
          <w:lang w:eastAsia="zh-CN"/>
        </w:rPr>
        <w:t>R_BEIJING</w:t>
      </w:r>
      <w:r>
        <w:rPr>
          <w:rFonts w:hint="eastAsia" w:ascii="Times New Roman" w:hAnsi="Times New Roman" w:eastAsia="仿宋" w:cs="宋体"/>
          <w:strike w:val="0"/>
          <w:kern w:val="0"/>
          <w:sz w:val="32"/>
          <w:szCs w:val="32"/>
          <w:lang w:val="en-US" w:eastAsia="zh-CN"/>
        </w:rPr>
        <w:t>09</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eastAsia="zh-CN"/>
        </w:rPr>
      </w:pPr>
      <w:r>
        <w:rPr>
          <w:rFonts w:hint="eastAsia" w:ascii="Times New Roman" w:eastAsia="仿宋" w:cs="宋体"/>
          <w:strike w:val="0"/>
          <w:kern w:val="0"/>
          <w:sz w:val="32"/>
          <w:szCs w:val="32"/>
          <w:lang w:eastAsia="zh-CN"/>
        </w:rPr>
        <w:t>参与人在报送集中备份文件时，默认使用</w:t>
      </w:r>
      <w:r>
        <w:rPr>
          <w:rFonts w:hint="eastAsia" w:ascii="Times New Roman" w:hAnsi="Times New Roman" w:eastAsia="仿宋" w:cs="宋体"/>
          <w:strike w:val="0"/>
          <w:kern w:val="0"/>
          <w:sz w:val="32"/>
          <w:szCs w:val="32"/>
          <w:lang w:eastAsia="zh-CN"/>
        </w:rPr>
        <w:t>R_BEIJING02</w:t>
      </w:r>
      <w:r>
        <w:rPr>
          <w:rFonts w:hint="eastAsia" w:ascii="Times New Roman" w:eastAsia="仿宋" w:cs="宋体"/>
          <w:strike w:val="0"/>
          <w:kern w:val="0"/>
          <w:sz w:val="32"/>
          <w:szCs w:val="32"/>
          <w:lang w:eastAsia="zh-CN"/>
        </w:rPr>
        <w:t>小站，亦可申请通过</w:t>
      </w:r>
      <w:r>
        <w:rPr>
          <w:rFonts w:hint="eastAsia" w:ascii="Times New Roman" w:eastAsia="仿宋" w:cs="宋体"/>
          <w:strike w:val="0"/>
          <w:kern w:val="0"/>
          <w:sz w:val="32"/>
          <w:szCs w:val="32"/>
          <w:lang w:val="en-US" w:eastAsia="zh-CN"/>
        </w:rPr>
        <w:t>R_BEIJING15</w:t>
      </w:r>
      <w:r>
        <w:rPr>
          <w:rFonts w:hint="eastAsia" w:ascii="Times New Roman" w:eastAsia="仿宋" w:cs="宋体"/>
          <w:strike w:val="0"/>
          <w:kern w:val="0"/>
          <w:sz w:val="32"/>
          <w:szCs w:val="32"/>
          <w:lang w:eastAsia="zh-CN"/>
        </w:rPr>
        <w:t>小站进行数据报送，具体切换流程请参见相关文档，务必保证在小站切换成功前仍使用原小站完成数据报送。</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51" w:name="_Toc12060"/>
      <w:bookmarkStart w:id="52" w:name="_Toc27937"/>
      <w:bookmarkStart w:id="53" w:name="_Toc5164"/>
      <w:bookmarkStart w:id="54" w:name="_Toc21880"/>
      <w:bookmarkStart w:id="55" w:name="_Toc25332"/>
      <w:bookmarkStart w:id="56" w:name="_Toc19961"/>
      <w:bookmarkStart w:id="57" w:name="_Toc32388"/>
      <w:bookmarkStart w:id="58" w:name="_Toc2967"/>
      <w:bookmarkStart w:id="59" w:name="_Toc9090"/>
      <w:bookmarkStart w:id="60" w:name="_Toc20986"/>
      <w:bookmarkStart w:id="61" w:name="_Toc8687"/>
      <w:bookmarkStart w:id="62" w:name="_Toc6553"/>
      <w:bookmarkStart w:id="63" w:name="_Toc27246"/>
      <w:bookmarkStart w:id="64" w:name="_Toc14430"/>
      <w:bookmarkStart w:id="65" w:name="_Toc14596"/>
      <w:bookmarkStart w:id="66" w:name="_Toc31763"/>
      <w:bookmarkStart w:id="67" w:name="_Toc21266"/>
      <w:bookmarkStart w:id="68" w:name="_Toc13648"/>
      <w:bookmarkStart w:id="69" w:name="_Toc23028"/>
      <w:bookmarkStart w:id="70" w:name="_Toc17743"/>
      <w:bookmarkStart w:id="71" w:name="_Toc29228"/>
      <w:bookmarkStart w:id="72" w:name="_Toc24095"/>
      <w:bookmarkStart w:id="73" w:name="_Toc7430"/>
      <w:bookmarkStart w:id="74" w:name="_Toc22626"/>
      <w:bookmarkStart w:id="75" w:name="_Toc26037"/>
      <w:r>
        <w:rPr>
          <w:rFonts w:hint="eastAsia" w:ascii="Times New Roman" w:hAnsi="Times New Roman" w:eastAsia="黑体" w:cs="Times New Roman"/>
          <w:b w:val="0"/>
          <w:bCs w:val="0"/>
          <w:color w:val="4F81BD"/>
          <w:kern w:val="44"/>
          <w:sz w:val="32"/>
          <w:szCs w:val="32"/>
          <w:lang w:eastAsia="zh-CN"/>
        </w:rPr>
        <w:t>三、数据拆分与压缩</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pPr>
        <w:widowControl/>
        <w:autoSpaceDE/>
        <w:autoSpaceDN/>
        <w:adjustRightInd/>
        <w:spacing w:line="560" w:lineRule="exact"/>
        <w:ind w:firstLine="640" w:firstLineChars="200"/>
        <w:jc w:val="left"/>
        <w:rPr>
          <w:rFonts w:hint="default" w:ascii="Times New Roman" w:hAnsi="Times New Roman" w:eastAsia="仿宋" w:cs="宋体"/>
          <w:strike w:val="0"/>
          <w:kern w:val="0"/>
          <w:sz w:val="32"/>
          <w:szCs w:val="32"/>
          <w:lang w:val="en-US" w:eastAsia="zh-CN"/>
        </w:rPr>
      </w:pPr>
      <w:r>
        <w:rPr>
          <w:rFonts w:hint="eastAsia" w:ascii="Times New Roman" w:eastAsia="仿宋" w:cs="宋体"/>
          <w:strike w:val="0"/>
          <w:kern w:val="0"/>
          <w:sz w:val="32"/>
          <w:szCs w:val="32"/>
          <w:lang w:eastAsia="zh-CN"/>
        </w:rPr>
        <w:t>为提高传输效率</w:t>
      </w:r>
      <w:r>
        <w:rPr>
          <w:rFonts w:hint="eastAsia" w:ascii="Times New Roman" w:hAnsi="Times New Roman" w:eastAsia="仿宋" w:cs="宋体"/>
          <w:strike w:val="0"/>
          <w:kern w:val="0"/>
          <w:sz w:val="32"/>
          <w:szCs w:val="32"/>
          <w:lang w:eastAsia="zh-CN"/>
        </w:rPr>
        <w:t>，</w:t>
      </w:r>
      <w:r>
        <w:rPr>
          <w:rFonts w:hint="eastAsia" w:ascii="Times New Roman" w:hAnsi="Times New Roman" w:eastAsia="仿宋" w:cs="宋体"/>
          <w:strike w:val="0"/>
          <w:kern w:val="0"/>
          <w:sz w:val="32"/>
          <w:szCs w:val="32"/>
          <w:lang w:val="en-US" w:eastAsia="zh-CN"/>
        </w:rPr>
        <w:t>单个文件大小超过100M</w:t>
      </w:r>
      <w:r>
        <w:rPr>
          <w:rFonts w:hint="eastAsia" w:ascii="Times New Roman" w:eastAsia="仿宋" w:cs="宋体"/>
          <w:strike w:val="0"/>
          <w:kern w:val="0"/>
          <w:sz w:val="32"/>
          <w:szCs w:val="32"/>
          <w:lang w:val="en-US" w:eastAsia="zh-CN"/>
        </w:rPr>
        <w:t>B</w:t>
      </w:r>
      <w:r>
        <w:rPr>
          <w:rFonts w:hint="eastAsia" w:ascii="Times New Roman" w:hAnsi="Times New Roman" w:eastAsia="仿宋" w:cs="宋体"/>
          <w:strike w:val="0"/>
          <w:kern w:val="0"/>
          <w:sz w:val="32"/>
          <w:szCs w:val="32"/>
          <w:lang w:val="en-US" w:eastAsia="zh-CN"/>
        </w:rPr>
        <w:t>时，</w:t>
      </w:r>
      <w:r>
        <w:rPr>
          <w:rFonts w:hint="eastAsia" w:ascii="Times New Roman" w:eastAsia="仿宋" w:cs="宋体"/>
          <w:strike w:val="0"/>
          <w:kern w:val="0"/>
          <w:sz w:val="32"/>
          <w:szCs w:val="32"/>
          <w:lang w:val="en-US" w:eastAsia="zh-CN"/>
        </w:rPr>
        <w:t>需</w:t>
      </w:r>
      <w:r>
        <w:rPr>
          <w:rFonts w:hint="eastAsia" w:ascii="Times New Roman" w:hAnsi="Times New Roman" w:eastAsia="仿宋" w:cs="宋体"/>
          <w:strike w:val="0"/>
          <w:kern w:val="0"/>
          <w:sz w:val="32"/>
          <w:szCs w:val="32"/>
          <w:lang w:val="en-US" w:eastAsia="zh-CN"/>
        </w:rPr>
        <w:t>进行</w:t>
      </w:r>
      <w:r>
        <w:rPr>
          <w:rFonts w:hint="eastAsia" w:ascii="Times New Roman" w:eastAsia="仿宋" w:cs="宋体"/>
          <w:strike w:val="0"/>
          <w:kern w:val="0"/>
          <w:sz w:val="32"/>
          <w:szCs w:val="32"/>
          <w:lang w:val="en-US" w:eastAsia="zh-CN"/>
        </w:rPr>
        <w:t>文件</w:t>
      </w:r>
      <w:r>
        <w:rPr>
          <w:rFonts w:hint="eastAsia" w:ascii="Times New Roman" w:hAnsi="Times New Roman" w:eastAsia="仿宋" w:cs="宋体"/>
          <w:strike w:val="0"/>
          <w:kern w:val="0"/>
          <w:sz w:val="32"/>
          <w:szCs w:val="32"/>
          <w:lang w:val="en-US" w:eastAsia="zh-CN"/>
        </w:rPr>
        <w:t>压缩</w:t>
      </w:r>
      <w:r>
        <w:rPr>
          <w:rFonts w:hint="eastAsia" w:ascii="Times New Roman" w:eastAsia="仿宋" w:cs="宋体"/>
          <w:strike w:val="0"/>
          <w:kern w:val="0"/>
          <w:sz w:val="32"/>
          <w:szCs w:val="32"/>
          <w:lang w:val="en-US" w:eastAsia="zh-CN"/>
        </w:rPr>
        <w:t>报送；单个文件大小超过5GB（压缩前）时，需进行文件拆分并压缩报送。</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eastAsia="zh-CN"/>
        </w:rPr>
      </w:pPr>
      <w:r>
        <w:rPr>
          <w:rFonts w:hint="eastAsia" w:ascii="Times New Roman" w:eastAsia="仿宋" w:cs="宋体"/>
          <w:strike w:val="0"/>
          <w:kern w:val="0"/>
          <w:sz w:val="32"/>
          <w:szCs w:val="32"/>
          <w:lang w:val="en-US" w:eastAsia="zh-CN"/>
        </w:rPr>
        <w:t>文件压缩</w:t>
      </w:r>
      <w:r>
        <w:rPr>
          <w:rFonts w:hint="eastAsia" w:ascii="Times New Roman" w:hAnsi="Times New Roman" w:eastAsia="仿宋" w:cs="宋体"/>
          <w:strike w:val="0"/>
          <w:kern w:val="0"/>
          <w:sz w:val="32"/>
          <w:szCs w:val="32"/>
          <w:lang w:val="en-US" w:eastAsia="zh-CN"/>
        </w:rPr>
        <w:t>支持整批次压缩报送，或单个文件的拆分、压缩报送。</w:t>
      </w:r>
      <w:r>
        <w:rPr>
          <w:rFonts w:hint="eastAsia" w:ascii="Times New Roman" w:hAnsi="Times New Roman" w:eastAsia="仿宋" w:cs="宋体"/>
          <w:strike w:val="0"/>
          <w:kern w:val="0"/>
          <w:sz w:val="32"/>
          <w:szCs w:val="32"/>
          <w:lang w:eastAsia="zh-CN"/>
        </w:rPr>
        <w:t>压缩要求采用ZIP（或BZ2）格式</w:t>
      </w:r>
      <w:r>
        <w:rPr>
          <w:rFonts w:hint="eastAsia" w:ascii="Times New Roman" w:eastAsia="仿宋" w:cs="宋体"/>
          <w:strike w:val="0"/>
          <w:kern w:val="0"/>
          <w:sz w:val="32"/>
          <w:szCs w:val="32"/>
          <w:lang w:eastAsia="zh-CN"/>
        </w:rPr>
        <w:t>，</w:t>
      </w:r>
      <w:r>
        <w:rPr>
          <w:rFonts w:hint="eastAsia" w:ascii="Times New Roman" w:hAnsi="Times New Roman" w:eastAsia="仿宋" w:cs="宋体"/>
          <w:strike w:val="0"/>
          <w:kern w:val="0"/>
          <w:sz w:val="32"/>
          <w:szCs w:val="32"/>
          <w:lang w:eastAsia="zh-CN"/>
        </w:rPr>
        <w:t>不支持其他压缩格式，不允许分卷压缩。</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eastAsia="zh-CN"/>
        </w:rPr>
      </w:pPr>
      <w:r>
        <w:rPr>
          <w:rFonts w:hint="eastAsia" w:ascii="Times New Roman" w:hAnsi="Times New Roman" w:eastAsia="仿宋" w:cs="宋体"/>
          <w:strike w:val="0"/>
          <w:kern w:val="0"/>
          <w:sz w:val="32"/>
          <w:szCs w:val="32"/>
          <w:lang w:eastAsia="zh-CN"/>
        </w:rPr>
        <w:t>整批次压缩报送时，压缩文件名称应为索引文件名，后缀由原TXT改为ZIP（或BZ2），例如：OFI_gg_00_yyyymmdd</w:t>
      </w:r>
      <w:r>
        <w:rPr>
          <w:rFonts w:hint="eastAsia" w:ascii="Times New Roman" w:hAnsi="Times New Roman" w:eastAsia="仿宋" w:cs="宋体"/>
          <w:strike w:val="0"/>
          <w:kern w:val="0"/>
          <w:sz w:val="32"/>
          <w:szCs w:val="32"/>
          <w:lang w:val="en-US" w:eastAsia="zh-CN"/>
        </w:rPr>
        <w:t>.ZIP</w:t>
      </w:r>
      <w:r>
        <w:rPr>
          <w:rFonts w:hint="eastAsia" w:ascii="Times New Roman" w:hAnsi="Times New Roman" w:eastAsia="仿宋" w:cs="宋体"/>
          <w:strike w:val="0"/>
          <w:kern w:val="0"/>
          <w:sz w:val="32"/>
          <w:szCs w:val="32"/>
          <w:lang w:eastAsia="zh-CN"/>
        </w:rPr>
        <w:t>（若备份批次和</w:t>
      </w:r>
      <w:r>
        <w:rPr>
          <w:rFonts w:hint="eastAsia" w:ascii="Times New Roman" w:hAnsi="Times New Roman" w:eastAsia="仿宋" w:cs="宋体"/>
          <w:strike w:val="0"/>
          <w:kern w:val="0"/>
          <w:sz w:val="32"/>
          <w:szCs w:val="32"/>
          <w:lang w:val="en-US" w:eastAsia="zh-CN"/>
        </w:rPr>
        <w:t>G1批次在同一压缩文件中报送，以备份文件索引文件名命名</w:t>
      </w:r>
      <w:r>
        <w:rPr>
          <w:rFonts w:hint="eastAsia" w:ascii="Times New Roman" w:hAnsi="Times New Roman" w:eastAsia="仿宋" w:cs="宋体"/>
          <w:strike w:val="0"/>
          <w:kern w:val="0"/>
          <w:sz w:val="32"/>
          <w:szCs w:val="32"/>
          <w:lang w:eastAsia="zh-CN"/>
        </w:rPr>
        <w:t>）。</w:t>
      </w:r>
    </w:p>
    <w:p>
      <w:pPr>
        <w:widowControl/>
        <w:autoSpaceDE/>
        <w:autoSpaceDN/>
        <w:adjustRightInd/>
        <w:spacing w:line="560" w:lineRule="exact"/>
        <w:ind w:firstLine="640" w:firstLineChars="200"/>
        <w:jc w:val="left"/>
        <w:rPr>
          <w:rFonts w:hint="default"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eastAsia="zh-CN"/>
        </w:rPr>
        <w:t>单文件压缩报送时，压缩文件名称应保持与原文件名称一致，后缀需要加上ZIP（或BZ2），例如：OFD_gg_00_yyyymmdd_94.</w:t>
      </w:r>
      <w:r>
        <w:rPr>
          <w:rFonts w:hint="eastAsia" w:ascii="Times New Roman" w:hAnsi="Times New Roman" w:eastAsia="仿宋" w:cs="宋体"/>
          <w:strike w:val="0"/>
          <w:kern w:val="0"/>
          <w:sz w:val="32"/>
          <w:szCs w:val="32"/>
          <w:lang w:val="en-US" w:eastAsia="zh-CN"/>
        </w:rPr>
        <w:t>TXT.ZIP</w:t>
      </w:r>
      <w:r>
        <w:rPr>
          <w:rFonts w:hint="eastAsia" w:ascii="Times New Roman" w:hAnsi="Times New Roman" w:eastAsia="仿宋" w:cs="宋体"/>
          <w:strike w:val="0"/>
          <w:kern w:val="0"/>
          <w:sz w:val="32"/>
          <w:szCs w:val="32"/>
          <w:lang w:eastAsia="zh-CN"/>
        </w:rPr>
        <w:t>。</w:t>
      </w:r>
      <w:r>
        <w:rPr>
          <w:rFonts w:hint="eastAsia" w:ascii="Times New Roman" w:eastAsia="仿宋" w:cs="宋体"/>
          <w:strike w:val="0"/>
          <w:kern w:val="0"/>
          <w:sz w:val="32"/>
          <w:szCs w:val="32"/>
          <w:lang w:eastAsia="zh-CN"/>
        </w:rPr>
        <w:t>（</w:t>
      </w:r>
      <w:r>
        <w:rPr>
          <w:rFonts w:hint="eastAsia" w:ascii="Times New Roman" w:hAnsi="Times New Roman" w:eastAsia="仿宋" w:cs="宋体"/>
          <w:strike w:val="0"/>
          <w:kern w:val="0"/>
          <w:sz w:val="32"/>
          <w:szCs w:val="32"/>
          <w:lang w:eastAsia="zh-CN"/>
        </w:rPr>
        <w:t>注意索引文件中列出的文件名仍使用原‘TXT’文件名</w:t>
      </w:r>
      <w:r>
        <w:rPr>
          <w:rFonts w:hint="eastAsia" w:ascii="Times New Roman" w:eastAsia="仿宋" w:cs="宋体"/>
          <w:strike w:val="0"/>
          <w:kern w:val="0"/>
          <w:sz w:val="32"/>
          <w:szCs w:val="32"/>
          <w:lang w:eastAsia="zh-CN"/>
        </w:rPr>
        <w:t>，而非压缩后的文件名</w:t>
      </w:r>
      <w:r>
        <w:rPr>
          <w:rFonts w:hint="eastAsia" w:ascii="Times New Roman" w:hAnsi="Times New Roman" w:eastAsia="仿宋" w:cs="宋体"/>
          <w:strike w:val="0"/>
          <w:kern w:val="0"/>
          <w:sz w:val="32"/>
          <w:szCs w:val="32"/>
          <w:lang w:eastAsia="zh-CN"/>
        </w:rPr>
        <w:t>。</w:t>
      </w:r>
      <w:r>
        <w:rPr>
          <w:rFonts w:hint="eastAsia" w:ascii="Times New Roman" w:eastAsia="仿宋" w:cs="宋体"/>
          <w:strike w:val="0"/>
          <w:kern w:val="0"/>
          <w:sz w:val="32"/>
          <w:szCs w:val="32"/>
          <w:lang w:eastAsia="zh-CN"/>
        </w:rPr>
        <w:t>）</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eastAsia="zh-CN"/>
        </w:rPr>
      </w:pPr>
      <w:r>
        <w:rPr>
          <w:rFonts w:hint="eastAsia" w:ascii="Times New Roman" w:hAnsi="Times New Roman" w:eastAsia="仿宋" w:cs="宋体"/>
          <w:strike w:val="0"/>
          <w:kern w:val="0"/>
          <w:sz w:val="32"/>
          <w:szCs w:val="32"/>
          <w:lang w:eastAsia="zh-CN"/>
        </w:rPr>
        <w:t>若单个数据文件（压缩前）超过</w:t>
      </w:r>
      <w:r>
        <w:rPr>
          <w:rFonts w:hint="eastAsia" w:ascii="Times New Roman" w:eastAsia="仿宋" w:cs="宋体"/>
          <w:strike w:val="0"/>
          <w:kern w:val="0"/>
          <w:sz w:val="32"/>
          <w:szCs w:val="32"/>
          <w:lang w:val="en-US" w:eastAsia="zh-CN"/>
        </w:rPr>
        <w:t>5GB</w:t>
      </w:r>
      <w:r>
        <w:rPr>
          <w:rFonts w:hint="eastAsia" w:ascii="Times New Roman" w:hAnsi="Times New Roman" w:eastAsia="仿宋" w:cs="宋体"/>
          <w:strike w:val="0"/>
          <w:kern w:val="0"/>
          <w:sz w:val="32"/>
          <w:szCs w:val="32"/>
          <w:lang w:eastAsia="zh-CN"/>
        </w:rPr>
        <w:t>，须拆为多个文件发送(即每个数据文件</w:t>
      </w:r>
      <w:r>
        <w:rPr>
          <w:rFonts w:hint="eastAsia" w:ascii="Times New Roman" w:eastAsia="仿宋" w:cs="宋体"/>
          <w:strike w:val="0"/>
          <w:kern w:val="0"/>
          <w:sz w:val="32"/>
          <w:szCs w:val="32"/>
          <w:lang w:eastAsia="zh-CN"/>
        </w:rPr>
        <w:t>（压缩前）</w:t>
      </w:r>
      <w:r>
        <w:rPr>
          <w:rFonts w:hint="eastAsia" w:ascii="Times New Roman" w:hAnsi="Times New Roman" w:eastAsia="仿宋" w:cs="宋体"/>
          <w:strike w:val="0"/>
          <w:kern w:val="0"/>
          <w:sz w:val="32"/>
          <w:szCs w:val="32"/>
          <w:lang w:eastAsia="zh-CN"/>
        </w:rPr>
        <w:t>不超过</w:t>
      </w:r>
      <w:r>
        <w:rPr>
          <w:rFonts w:hint="eastAsia" w:ascii="Times New Roman" w:eastAsia="仿宋" w:cs="宋体"/>
          <w:strike w:val="0"/>
          <w:kern w:val="0"/>
          <w:sz w:val="32"/>
          <w:szCs w:val="32"/>
          <w:lang w:val="en-US" w:eastAsia="zh-CN"/>
        </w:rPr>
        <w:t>5GB</w:t>
      </w:r>
      <w:r>
        <w:rPr>
          <w:rFonts w:hint="eastAsia" w:ascii="Times New Roman" w:hAnsi="Times New Roman" w:eastAsia="仿宋" w:cs="宋体"/>
          <w:strike w:val="0"/>
          <w:kern w:val="0"/>
          <w:sz w:val="32"/>
          <w:szCs w:val="32"/>
          <w:lang w:eastAsia="zh-CN"/>
        </w:rPr>
        <w:t>) ，在文件名后增加批次号，比如OFD_</w:t>
      </w:r>
      <w:r>
        <w:rPr>
          <w:rFonts w:hint="default" w:ascii="Times New Roman" w:hAnsi="Times New Roman" w:eastAsia="仿宋" w:cs="宋体"/>
          <w:strike w:val="0"/>
          <w:kern w:val="0"/>
          <w:sz w:val="32"/>
          <w:szCs w:val="32"/>
          <w:lang w:eastAsia="zh-CN"/>
        </w:rPr>
        <w:t>gg</w:t>
      </w:r>
      <w:r>
        <w:rPr>
          <w:rFonts w:hint="eastAsia" w:ascii="Times New Roman" w:hAnsi="Times New Roman" w:eastAsia="仿宋" w:cs="宋体"/>
          <w:strike w:val="0"/>
          <w:kern w:val="0"/>
          <w:sz w:val="32"/>
          <w:szCs w:val="32"/>
          <w:lang w:eastAsia="zh-CN"/>
        </w:rPr>
        <w:t>_</w:t>
      </w:r>
      <w:r>
        <w:rPr>
          <w:rFonts w:hint="default" w:ascii="Times New Roman" w:hAnsi="Times New Roman" w:eastAsia="仿宋" w:cs="宋体"/>
          <w:strike w:val="0"/>
          <w:kern w:val="0"/>
          <w:sz w:val="32"/>
          <w:szCs w:val="32"/>
          <w:lang w:eastAsia="zh-CN"/>
        </w:rPr>
        <w:t>00_yyyymmdd</w:t>
      </w:r>
      <w:r>
        <w:rPr>
          <w:rFonts w:hint="eastAsia" w:ascii="Times New Roman" w:hAnsi="Times New Roman" w:eastAsia="仿宋" w:cs="宋体"/>
          <w:strike w:val="0"/>
          <w:kern w:val="0"/>
          <w:sz w:val="32"/>
          <w:szCs w:val="32"/>
          <w:lang w:eastAsia="zh-CN"/>
        </w:rPr>
        <w:t>_Q5_001.TXT、 OFD_</w:t>
      </w:r>
      <w:r>
        <w:rPr>
          <w:rFonts w:hint="default" w:ascii="Times New Roman" w:hAnsi="Times New Roman" w:eastAsia="仿宋" w:cs="宋体"/>
          <w:strike w:val="0"/>
          <w:kern w:val="0"/>
          <w:sz w:val="32"/>
          <w:szCs w:val="32"/>
          <w:lang w:eastAsia="zh-CN"/>
        </w:rPr>
        <w:t>gg</w:t>
      </w:r>
      <w:r>
        <w:rPr>
          <w:rFonts w:hint="eastAsia" w:ascii="Times New Roman" w:hAnsi="Times New Roman" w:eastAsia="仿宋" w:cs="宋体"/>
          <w:strike w:val="0"/>
          <w:kern w:val="0"/>
          <w:sz w:val="32"/>
          <w:szCs w:val="32"/>
          <w:lang w:eastAsia="zh-CN"/>
        </w:rPr>
        <w:t>_</w:t>
      </w:r>
      <w:r>
        <w:rPr>
          <w:rFonts w:hint="default" w:ascii="Times New Roman" w:hAnsi="Times New Roman" w:eastAsia="仿宋" w:cs="宋体"/>
          <w:strike w:val="0"/>
          <w:kern w:val="0"/>
          <w:sz w:val="32"/>
          <w:szCs w:val="32"/>
          <w:lang w:eastAsia="zh-CN"/>
        </w:rPr>
        <w:t>00_yyyymmdd</w:t>
      </w:r>
      <w:r>
        <w:rPr>
          <w:rFonts w:hint="eastAsia" w:ascii="Times New Roman" w:hAnsi="Times New Roman" w:eastAsia="仿宋" w:cs="宋体"/>
          <w:strike w:val="0"/>
          <w:kern w:val="0"/>
          <w:sz w:val="32"/>
          <w:szCs w:val="32"/>
          <w:lang w:eastAsia="zh-CN"/>
        </w:rPr>
        <w:t>_Q5_002.TXT等。拆分后的文件仍遵照接口规范，文件头中记录数为本</w:t>
      </w:r>
      <w:r>
        <w:rPr>
          <w:rFonts w:hint="eastAsia" w:ascii="Times New Roman" w:eastAsia="仿宋" w:cs="宋体"/>
          <w:strike w:val="0"/>
          <w:kern w:val="0"/>
          <w:sz w:val="32"/>
          <w:szCs w:val="32"/>
          <w:lang w:eastAsia="zh-CN"/>
        </w:rPr>
        <w:t>文件</w:t>
      </w:r>
      <w:r>
        <w:rPr>
          <w:rFonts w:hint="eastAsia" w:ascii="Times New Roman" w:hAnsi="Times New Roman" w:eastAsia="仿宋" w:cs="宋体"/>
          <w:strike w:val="0"/>
          <w:kern w:val="0"/>
          <w:sz w:val="32"/>
          <w:szCs w:val="32"/>
          <w:lang w:eastAsia="zh-CN"/>
        </w:rPr>
        <w:t>记录数。在索引文件中(注意：索引文件不可拆分)应囊括所有数据文件名，即包含“OFD_</w:t>
      </w:r>
      <w:r>
        <w:rPr>
          <w:rFonts w:hint="default" w:ascii="Times New Roman" w:hAnsi="Times New Roman" w:eastAsia="仿宋" w:cs="宋体"/>
          <w:strike w:val="0"/>
          <w:kern w:val="0"/>
          <w:sz w:val="32"/>
          <w:szCs w:val="32"/>
          <w:lang w:eastAsia="zh-CN"/>
        </w:rPr>
        <w:t>gg</w:t>
      </w:r>
      <w:r>
        <w:rPr>
          <w:rFonts w:hint="eastAsia" w:ascii="Times New Roman" w:hAnsi="Times New Roman" w:eastAsia="仿宋" w:cs="宋体"/>
          <w:strike w:val="0"/>
          <w:kern w:val="0"/>
          <w:sz w:val="32"/>
          <w:szCs w:val="32"/>
          <w:lang w:eastAsia="zh-CN"/>
        </w:rPr>
        <w:t>_</w:t>
      </w:r>
      <w:r>
        <w:rPr>
          <w:rFonts w:hint="default" w:ascii="Times New Roman" w:hAnsi="Times New Roman" w:eastAsia="仿宋" w:cs="宋体"/>
          <w:strike w:val="0"/>
          <w:kern w:val="0"/>
          <w:sz w:val="32"/>
          <w:szCs w:val="32"/>
          <w:lang w:eastAsia="zh-CN"/>
        </w:rPr>
        <w:t>00_yyyymmdd</w:t>
      </w:r>
      <w:r>
        <w:rPr>
          <w:rFonts w:hint="eastAsia" w:ascii="Times New Roman" w:hAnsi="Times New Roman" w:eastAsia="仿宋" w:cs="宋体"/>
          <w:strike w:val="0"/>
          <w:kern w:val="0"/>
          <w:sz w:val="32"/>
          <w:szCs w:val="32"/>
          <w:lang w:eastAsia="zh-CN"/>
        </w:rPr>
        <w:t>_Q5_001.TXT、 OFD_</w:t>
      </w:r>
      <w:r>
        <w:rPr>
          <w:rFonts w:hint="default" w:ascii="Times New Roman" w:hAnsi="Times New Roman" w:eastAsia="仿宋" w:cs="宋体"/>
          <w:strike w:val="0"/>
          <w:kern w:val="0"/>
          <w:sz w:val="32"/>
          <w:szCs w:val="32"/>
          <w:lang w:eastAsia="zh-CN"/>
        </w:rPr>
        <w:t>gg</w:t>
      </w:r>
      <w:r>
        <w:rPr>
          <w:rFonts w:hint="eastAsia" w:ascii="Times New Roman" w:hAnsi="Times New Roman" w:eastAsia="仿宋" w:cs="宋体"/>
          <w:strike w:val="0"/>
          <w:kern w:val="0"/>
          <w:sz w:val="32"/>
          <w:szCs w:val="32"/>
          <w:lang w:eastAsia="zh-CN"/>
        </w:rPr>
        <w:t>_</w:t>
      </w:r>
      <w:r>
        <w:rPr>
          <w:rFonts w:hint="default" w:ascii="Times New Roman" w:hAnsi="Times New Roman" w:eastAsia="仿宋" w:cs="宋体"/>
          <w:strike w:val="0"/>
          <w:kern w:val="0"/>
          <w:sz w:val="32"/>
          <w:szCs w:val="32"/>
          <w:lang w:eastAsia="zh-CN"/>
        </w:rPr>
        <w:t>00_yyyymmdd</w:t>
      </w:r>
      <w:r>
        <w:rPr>
          <w:rFonts w:hint="eastAsia" w:ascii="Times New Roman" w:hAnsi="Times New Roman" w:eastAsia="仿宋" w:cs="宋体"/>
          <w:strike w:val="0"/>
          <w:kern w:val="0"/>
          <w:sz w:val="32"/>
          <w:szCs w:val="32"/>
          <w:lang w:eastAsia="zh-CN"/>
        </w:rPr>
        <w:t>_Q5_002.TXT”等文件名。</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76" w:name="_Toc20845"/>
      <w:bookmarkStart w:id="77" w:name="_Toc32721"/>
      <w:bookmarkStart w:id="78" w:name="_Toc13373"/>
      <w:bookmarkStart w:id="79" w:name="_Toc18985"/>
      <w:bookmarkStart w:id="80" w:name="_Toc30529"/>
      <w:bookmarkStart w:id="81" w:name="_Toc11035"/>
      <w:bookmarkStart w:id="82" w:name="_Toc3513"/>
      <w:bookmarkStart w:id="83" w:name="_Toc18479"/>
      <w:bookmarkStart w:id="84" w:name="_Toc8148"/>
      <w:bookmarkStart w:id="85" w:name="_Toc25094"/>
      <w:bookmarkStart w:id="86" w:name="_Toc28337"/>
      <w:bookmarkStart w:id="87" w:name="_Toc22771"/>
      <w:bookmarkStart w:id="88" w:name="_Toc30017"/>
      <w:bookmarkStart w:id="89" w:name="_Toc2457"/>
      <w:bookmarkStart w:id="90" w:name="_Toc10605"/>
      <w:bookmarkStart w:id="91" w:name="_Toc10948"/>
      <w:bookmarkStart w:id="92" w:name="_Toc1454"/>
      <w:bookmarkStart w:id="93" w:name="_Toc21435"/>
      <w:bookmarkStart w:id="94" w:name="_Toc10923"/>
      <w:bookmarkStart w:id="95" w:name="_Toc21264"/>
      <w:bookmarkStart w:id="96" w:name="_Toc27381"/>
      <w:bookmarkStart w:id="97" w:name="_Toc12355"/>
      <w:bookmarkStart w:id="98" w:name="_Toc12771"/>
      <w:bookmarkStart w:id="99" w:name="_Toc23568"/>
      <w:bookmarkStart w:id="100" w:name="_Toc566"/>
      <w:r>
        <w:rPr>
          <w:rFonts w:hint="eastAsia" w:ascii="Times New Roman" w:hAnsi="Times New Roman" w:eastAsia="黑体" w:cs="Times New Roman"/>
          <w:b w:val="0"/>
          <w:bCs w:val="0"/>
          <w:color w:val="4F81BD"/>
          <w:kern w:val="44"/>
          <w:sz w:val="32"/>
          <w:szCs w:val="32"/>
          <w:lang w:eastAsia="zh-CN"/>
        </w:rPr>
        <w:t>四、数据重传</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Pr>
          <w:rFonts w:hint="eastAsia" w:ascii="Times New Roman" w:hAnsi="Times New Roman" w:eastAsia="黑体" w:cs="Times New Roman"/>
          <w:b w:val="0"/>
          <w:bCs w:val="0"/>
          <w:color w:val="4F81BD"/>
          <w:kern w:val="44"/>
          <w:sz w:val="32"/>
          <w:szCs w:val="32"/>
          <w:lang w:eastAsia="zh-CN"/>
        </w:rPr>
        <w:t>机制</w:t>
      </w:r>
      <w:bookmarkEnd w:id="100"/>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在数据报送有效期内，参与人发现报送文件校验失败、或需对数据内容进行更新时，可在规定时间内重新报送。中数平台支持参与人对已报送的</w:t>
      </w:r>
      <w:r>
        <w:rPr>
          <w:rFonts w:hint="eastAsia" w:ascii="Times New Roman" w:eastAsia="仿宋" w:cs="宋体"/>
          <w:strike w:val="0"/>
          <w:kern w:val="0"/>
          <w:sz w:val="32"/>
          <w:szCs w:val="32"/>
          <w:lang w:val="en-US" w:eastAsia="zh-CN"/>
        </w:rPr>
        <w:t>文件</w:t>
      </w:r>
      <w:r>
        <w:rPr>
          <w:rFonts w:hint="eastAsia" w:ascii="Times New Roman" w:hAnsi="Times New Roman" w:eastAsia="仿宋" w:cs="宋体"/>
          <w:strike w:val="0"/>
          <w:kern w:val="0"/>
          <w:sz w:val="32"/>
          <w:szCs w:val="32"/>
          <w:lang w:val="en-US" w:eastAsia="zh-CN"/>
        </w:rPr>
        <w:t>进行更新。若需更正</w:t>
      </w:r>
      <w:r>
        <w:rPr>
          <w:rFonts w:hint="eastAsia" w:ascii="Times New Roman" w:eastAsia="仿宋" w:cs="宋体"/>
          <w:strike w:val="0"/>
          <w:kern w:val="0"/>
          <w:sz w:val="32"/>
          <w:szCs w:val="32"/>
          <w:lang w:val="en-US" w:eastAsia="zh-CN"/>
        </w:rPr>
        <w:t>某个数据</w:t>
      </w:r>
      <w:r>
        <w:rPr>
          <w:rFonts w:hint="eastAsia" w:ascii="Times New Roman" w:hAnsi="Times New Roman" w:eastAsia="仿宋" w:cs="宋体"/>
          <w:strike w:val="0"/>
          <w:kern w:val="0"/>
          <w:sz w:val="32"/>
          <w:szCs w:val="32"/>
          <w:lang w:val="en-US" w:eastAsia="zh-CN"/>
        </w:rPr>
        <w:t>文件，则重传相同文件名称的数据文件</w:t>
      </w:r>
      <w:r>
        <w:rPr>
          <w:rFonts w:hint="eastAsia" w:ascii="Times New Roman" w:eastAsia="仿宋" w:cs="宋体"/>
          <w:strike w:val="0"/>
          <w:kern w:val="0"/>
          <w:sz w:val="32"/>
          <w:szCs w:val="32"/>
          <w:lang w:val="en-US" w:eastAsia="zh-CN"/>
        </w:rPr>
        <w:t>即可</w:t>
      </w:r>
      <w:r>
        <w:rPr>
          <w:rFonts w:hint="eastAsia" w:ascii="Times New Roman" w:hAnsi="Times New Roman" w:eastAsia="仿宋" w:cs="宋体"/>
          <w:strike w:val="0"/>
          <w:kern w:val="0"/>
          <w:sz w:val="32"/>
          <w:szCs w:val="32"/>
          <w:lang w:val="en-US" w:eastAsia="zh-CN"/>
        </w:rPr>
        <w:t>；若需作废某个</w:t>
      </w:r>
      <w:r>
        <w:rPr>
          <w:rFonts w:hint="eastAsia" w:ascii="Times New Roman" w:eastAsia="仿宋" w:cs="宋体"/>
          <w:strike w:val="0"/>
          <w:kern w:val="0"/>
          <w:sz w:val="32"/>
          <w:szCs w:val="32"/>
          <w:lang w:val="en-US" w:eastAsia="zh-CN"/>
        </w:rPr>
        <w:t>数据文件中数据</w:t>
      </w:r>
      <w:r>
        <w:rPr>
          <w:rFonts w:hint="eastAsia" w:ascii="Times New Roman" w:hAnsi="Times New Roman" w:eastAsia="仿宋" w:cs="宋体"/>
          <w:strike w:val="0"/>
          <w:kern w:val="0"/>
          <w:sz w:val="32"/>
          <w:szCs w:val="32"/>
          <w:lang w:val="en-US" w:eastAsia="zh-CN"/>
        </w:rPr>
        <w:t>，</w:t>
      </w:r>
      <w:r>
        <w:rPr>
          <w:rFonts w:hint="eastAsia" w:ascii="Times New Roman" w:eastAsia="仿宋" w:cs="宋体"/>
          <w:strike w:val="0"/>
          <w:kern w:val="0"/>
          <w:sz w:val="32"/>
          <w:szCs w:val="32"/>
          <w:lang w:val="en-US" w:eastAsia="zh-CN"/>
        </w:rPr>
        <w:t>需</w:t>
      </w:r>
      <w:r>
        <w:rPr>
          <w:rFonts w:hint="eastAsia" w:ascii="Times New Roman" w:hAnsi="Times New Roman" w:eastAsia="仿宋" w:cs="宋体"/>
          <w:strike w:val="0"/>
          <w:kern w:val="0"/>
          <w:sz w:val="32"/>
          <w:szCs w:val="32"/>
          <w:lang w:val="en-US" w:eastAsia="zh-CN"/>
        </w:rPr>
        <w:t>重传</w:t>
      </w:r>
      <w:r>
        <w:rPr>
          <w:rFonts w:hint="eastAsia" w:ascii="Times New Roman" w:eastAsia="仿宋" w:cs="宋体"/>
          <w:strike w:val="0"/>
          <w:kern w:val="0"/>
          <w:sz w:val="32"/>
          <w:szCs w:val="32"/>
          <w:lang w:val="en-US" w:eastAsia="zh-CN"/>
        </w:rPr>
        <w:t>相同</w:t>
      </w:r>
      <w:r>
        <w:rPr>
          <w:rFonts w:hint="eastAsia" w:ascii="Times New Roman" w:hAnsi="Times New Roman" w:eastAsia="仿宋" w:cs="宋体"/>
          <w:strike w:val="0"/>
          <w:kern w:val="0"/>
          <w:sz w:val="32"/>
          <w:szCs w:val="32"/>
          <w:lang w:val="en-US" w:eastAsia="zh-CN"/>
        </w:rPr>
        <w:t>文件</w:t>
      </w:r>
      <w:r>
        <w:rPr>
          <w:rFonts w:hint="eastAsia" w:ascii="Times New Roman" w:eastAsia="仿宋" w:cs="宋体"/>
          <w:strike w:val="0"/>
          <w:kern w:val="0"/>
          <w:sz w:val="32"/>
          <w:szCs w:val="32"/>
          <w:lang w:val="en-US" w:eastAsia="zh-CN"/>
        </w:rPr>
        <w:t>名称</w:t>
      </w:r>
      <w:r>
        <w:rPr>
          <w:rFonts w:hint="eastAsia" w:ascii="Times New Roman" w:hAnsi="Times New Roman" w:eastAsia="仿宋" w:cs="宋体"/>
          <w:strike w:val="0"/>
          <w:kern w:val="0"/>
          <w:sz w:val="32"/>
          <w:szCs w:val="32"/>
          <w:lang w:val="en-US" w:eastAsia="zh-CN"/>
        </w:rPr>
        <w:t>的空数据文件（文件头中记录数为0）</w:t>
      </w:r>
      <w:r>
        <w:rPr>
          <w:rFonts w:hint="eastAsia" w:ascii="Times New Roman" w:eastAsia="仿宋" w:cs="宋体"/>
          <w:strike w:val="0"/>
          <w:kern w:val="0"/>
          <w:sz w:val="32"/>
          <w:szCs w:val="32"/>
          <w:lang w:val="en-US" w:eastAsia="zh-CN"/>
        </w:rPr>
        <w:t>即可。</w:t>
      </w:r>
      <w:r>
        <w:rPr>
          <w:rFonts w:hint="eastAsia" w:ascii="Times New Roman" w:hAnsi="Times New Roman" w:eastAsia="仿宋" w:cs="宋体"/>
          <w:b/>
          <w:bCs/>
          <w:strike w:val="0"/>
          <w:kern w:val="0"/>
          <w:sz w:val="32"/>
          <w:szCs w:val="32"/>
          <w:lang w:val="en-US" w:eastAsia="zh-CN"/>
        </w:rPr>
        <w:t>注意：仅靠重传索引文件(文件名列表不含该数据文件)，无法作废该数据文件；</w:t>
      </w:r>
      <w:r>
        <w:rPr>
          <w:rFonts w:hint="eastAsia" w:ascii="Times New Roman" w:hAnsi="Times New Roman" w:eastAsia="仿宋" w:cs="宋体"/>
          <w:strike w:val="0"/>
          <w:kern w:val="0"/>
          <w:sz w:val="32"/>
          <w:szCs w:val="32"/>
          <w:lang w:val="en-US" w:eastAsia="zh-CN"/>
        </w:rPr>
        <w:t>若需追加一些数据</w:t>
      </w:r>
      <w:r>
        <w:rPr>
          <w:rFonts w:hint="eastAsia" w:ascii="Times New Roman" w:eastAsia="仿宋" w:cs="宋体"/>
          <w:strike w:val="0"/>
          <w:kern w:val="0"/>
          <w:sz w:val="32"/>
          <w:szCs w:val="32"/>
          <w:lang w:val="en-US" w:eastAsia="zh-CN"/>
        </w:rPr>
        <w:t>文件</w:t>
      </w:r>
      <w:r>
        <w:rPr>
          <w:rFonts w:hint="eastAsia" w:ascii="Times New Roman" w:hAnsi="Times New Roman" w:eastAsia="仿宋" w:cs="宋体"/>
          <w:strike w:val="0"/>
          <w:kern w:val="0"/>
          <w:sz w:val="32"/>
          <w:szCs w:val="32"/>
          <w:lang w:val="en-US" w:eastAsia="zh-CN"/>
        </w:rPr>
        <w:t>，则除发送追加的数据</w:t>
      </w:r>
      <w:r>
        <w:rPr>
          <w:rFonts w:hint="eastAsia" w:ascii="Times New Roman" w:eastAsia="仿宋" w:cs="宋体"/>
          <w:strike w:val="0"/>
          <w:kern w:val="0"/>
          <w:sz w:val="32"/>
          <w:szCs w:val="32"/>
          <w:lang w:val="en-US" w:eastAsia="zh-CN"/>
        </w:rPr>
        <w:t>文件</w:t>
      </w:r>
      <w:r>
        <w:rPr>
          <w:rFonts w:hint="eastAsia" w:ascii="Times New Roman" w:hAnsi="Times New Roman" w:eastAsia="仿宋" w:cs="宋体"/>
          <w:strike w:val="0"/>
          <w:kern w:val="0"/>
          <w:sz w:val="32"/>
          <w:szCs w:val="32"/>
          <w:lang w:val="en-US" w:eastAsia="zh-CN"/>
        </w:rPr>
        <w:t>外，还需重新发送索引文件（文件名列表需包含原有</w:t>
      </w:r>
      <w:r>
        <w:rPr>
          <w:rFonts w:hint="eastAsia" w:ascii="Times New Roman" w:eastAsia="仿宋" w:cs="宋体"/>
          <w:strike w:val="0"/>
          <w:kern w:val="0"/>
          <w:sz w:val="32"/>
          <w:szCs w:val="32"/>
          <w:lang w:val="en-US" w:eastAsia="zh-CN"/>
        </w:rPr>
        <w:t>数据文件</w:t>
      </w:r>
      <w:r>
        <w:rPr>
          <w:rFonts w:hint="eastAsia" w:ascii="Times New Roman" w:hAnsi="Times New Roman" w:eastAsia="仿宋" w:cs="宋体"/>
          <w:strike w:val="0"/>
          <w:kern w:val="0"/>
          <w:sz w:val="32"/>
          <w:szCs w:val="32"/>
          <w:lang w:val="en-US" w:eastAsia="zh-CN"/>
        </w:rPr>
        <w:t>和追加</w:t>
      </w:r>
      <w:r>
        <w:rPr>
          <w:rFonts w:hint="eastAsia" w:ascii="Times New Roman" w:eastAsia="仿宋" w:cs="宋体"/>
          <w:strike w:val="0"/>
          <w:kern w:val="0"/>
          <w:sz w:val="32"/>
          <w:szCs w:val="32"/>
          <w:lang w:val="en-US" w:eastAsia="zh-CN"/>
        </w:rPr>
        <w:t>数据文件</w:t>
      </w:r>
      <w:r>
        <w:rPr>
          <w:rFonts w:hint="eastAsia" w:ascii="Times New Roman" w:hAnsi="Times New Roman" w:eastAsia="仿宋" w:cs="宋体"/>
          <w:strike w:val="0"/>
          <w:kern w:val="0"/>
          <w:sz w:val="32"/>
          <w:szCs w:val="32"/>
          <w:lang w:val="en-US" w:eastAsia="zh-CN"/>
        </w:rPr>
        <w:t>）。</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101" w:name="_Toc4818"/>
      <w:bookmarkStart w:id="102" w:name="_Toc9391"/>
      <w:bookmarkStart w:id="103" w:name="_Toc18764"/>
      <w:bookmarkStart w:id="104" w:name="_Toc13745"/>
      <w:bookmarkStart w:id="105" w:name="_Toc22753"/>
      <w:bookmarkStart w:id="106" w:name="_Toc25073"/>
      <w:bookmarkStart w:id="107" w:name="_Toc1551"/>
      <w:bookmarkStart w:id="108" w:name="_Toc12174"/>
      <w:bookmarkStart w:id="109" w:name="_Toc19955"/>
      <w:bookmarkStart w:id="110" w:name="_Toc2048"/>
      <w:bookmarkStart w:id="111" w:name="_Toc21585"/>
      <w:bookmarkStart w:id="112" w:name="_Toc14386"/>
      <w:bookmarkStart w:id="113" w:name="_Toc28406"/>
      <w:bookmarkStart w:id="114" w:name="_Toc11089"/>
      <w:bookmarkStart w:id="115" w:name="_Toc23375"/>
      <w:bookmarkStart w:id="116" w:name="_Toc31035"/>
      <w:bookmarkStart w:id="117" w:name="_Toc6200"/>
      <w:bookmarkStart w:id="118" w:name="_Toc9948"/>
      <w:bookmarkStart w:id="119" w:name="_Toc11554"/>
      <w:bookmarkStart w:id="120" w:name="_Toc24869"/>
      <w:bookmarkStart w:id="121" w:name="_Toc30917"/>
      <w:bookmarkStart w:id="122" w:name="_Toc16051"/>
      <w:bookmarkStart w:id="123" w:name="_Toc16473"/>
      <w:bookmarkStart w:id="124" w:name="_Toc11897"/>
      <w:bookmarkStart w:id="125" w:name="_Toc32709"/>
      <w:r>
        <w:rPr>
          <w:rFonts w:hint="eastAsia" w:ascii="Times New Roman" w:hAnsi="Times New Roman" w:eastAsia="黑体" w:cs="Times New Roman"/>
          <w:b w:val="0"/>
          <w:bCs w:val="0"/>
          <w:color w:val="4F81BD"/>
          <w:kern w:val="44"/>
          <w:sz w:val="32"/>
          <w:szCs w:val="32"/>
          <w:lang w:eastAsia="zh-CN"/>
        </w:rPr>
        <w:t>五、数据校验机制</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中数平台对参与人数据校验分两步完成：</w:t>
      </w:r>
    </w:p>
    <w:p>
      <w:pPr>
        <w:widowControl/>
        <w:autoSpaceDE/>
        <w:autoSpaceDN/>
        <w:adjustRightInd/>
        <w:spacing w:line="560" w:lineRule="exact"/>
        <w:ind w:firstLine="643" w:firstLineChars="200"/>
        <w:jc w:val="left"/>
        <w:rPr>
          <w:rFonts w:hint="eastAsia" w:ascii="Times New Roman" w:eastAsia="仿宋" w:cs="宋体"/>
          <w:strike w:val="0"/>
          <w:kern w:val="0"/>
          <w:sz w:val="32"/>
          <w:szCs w:val="32"/>
          <w:lang w:val="en-US" w:eastAsia="zh-CN"/>
        </w:rPr>
      </w:pPr>
      <w:r>
        <w:rPr>
          <w:rFonts w:hint="eastAsia" w:ascii="Times New Roman" w:hAnsi="Times New Roman" w:eastAsia="仿宋" w:cs="宋体"/>
          <w:b/>
          <w:bCs/>
          <w:strike w:val="0"/>
          <w:kern w:val="0"/>
          <w:sz w:val="32"/>
          <w:szCs w:val="32"/>
          <w:lang w:val="en-US" w:eastAsia="zh-CN"/>
        </w:rPr>
        <w:t>数据格式校验</w:t>
      </w:r>
      <w:r>
        <w:rPr>
          <w:rFonts w:hint="eastAsia" w:ascii="Times New Roman" w:eastAsia="仿宋" w:cs="宋体"/>
          <w:strike w:val="0"/>
          <w:kern w:val="0"/>
          <w:sz w:val="32"/>
          <w:szCs w:val="32"/>
          <w:lang w:val="en-US" w:eastAsia="zh-CN"/>
        </w:rPr>
        <w:t>。数据格式校验是对份额登记机构当日报送的数据文件进行格式正确性检查。</w:t>
      </w:r>
    </w:p>
    <w:p>
      <w:pPr>
        <w:widowControl/>
        <w:autoSpaceDE/>
        <w:autoSpaceDN/>
        <w:adjustRightInd/>
        <w:spacing w:line="560" w:lineRule="exact"/>
        <w:ind w:firstLine="643" w:firstLineChars="200"/>
        <w:jc w:val="left"/>
        <w:rPr>
          <w:rFonts w:hint="default" w:ascii="Times New Roman" w:hAnsi="Times New Roman" w:eastAsia="仿宋" w:cs="宋体"/>
          <w:strike w:val="0"/>
          <w:kern w:val="0"/>
          <w:sz w:val="32"/>
          <w:szCs w:val="32"/>
          <w:lang w:val="en-US" w:eastAsia="zh-CN"/>
        </w:rPr>
      </w:pPr>
      <w:r>
        <w:rPr>
          <w:rFonts w:hint="eastAsia" w:ascii="Times New Roman" w:hAnsi="Times New Roman" w:eastAsia="仿宋" w:cs="宋体"/>
          <w:b/>
          <w:bCs/>
          <w:strike w:val="0"/>
          <w:kern w:val="0"/>
          <w:sz w:val="32"/>
          <w:szCs w:val="32"/>
          <w:lang w:val="en-US" w:eastAsia="zh-CN"/>
        </w:rPr>
        <w:t>数据内容校验</w:t>
      </w:r>
      <w:r>
        <w:rPr>
          <w:rFonts w:hint="eastAsia" w:ascii="Times New Roman" w:eastAsia="仿宋" w:cs="宋体"/>
          <w:b/>
          <w:bCs/>
          <w:strike w:val="0"/>
          <w:kern w:val="0"/>
          <w:sz w:val="32"/>
          <w:szCs w:val="32"/>
          <w:lang w:val="en-US" w:eastAsia="zh-CN"/>
        </w:rPr>
        <w:t>。</w:t>
      </w:r>
      <w:r>
        <w:rPr>
          <w:rFonts w:hint="eastAsia" w:ascii="Times New Roman" w:eastAsia="仿宋" w:cs="宋体"/>
          <w:strike w:val="0"/>
          <w:kern w:val="0"/>
          <w:sz w:val="32"/>
          <w:szCs w:val="32"/>
          <w:lang w:val="en-US" w:eastAsia="zh-CN"/>
        </w:rPr>
        <w:t>数据内容校验是对份额登记机构当日报送的数据文件进行内容正确性检查。数据内容校验在文件通过格式校验后进行，</w:t>
      </w:r>
      <w:r>
        <w:rPr>
          <w:rFonts w:hint="eastAsia" w:ascii="Times New Roman" w:hAnsi="Times New Roman" w:eastAsia="仿宋" w:cs="宋体"/>
          <w:strike w:val="0"/>
          <w:kern w:val="0"/>
          <w:sz w:val="32"/>
          <w:szCs w:val="32"/>
          <w:lang w:val="en-US" w:eastAsia="zh-CN"/>
        </w:rPr>
        <w:t>校验结果以人工方式通知参与人。</w:t>
      </w:r>
    </w:p>
    <w:p>
      <w:pPr>
        <w:pStyle w:val="3"/>
        <w:widowControl/>
        <w:numPr>
          <w:ilvl w:val="0"/>
          <w:numId w:val="0"/>
        </w:numPr>
        <w:autoSpaceDE/>
        <w:autoSpaceDN/>
        <w:adjustRightInd/>
        <w:spacing w:before="100" w:line="240" w:lineRule="auto"/>
        <w:ind w:firstLine="640" w:firstLineChars="200"/>
        <w:jc w:val="left"/>
        <w:rPr>
          <w:rFonts w:hint="eastAsia" w:ascii="Times New Roman" w:hAnsi="宋体" w:eastAsia="楷体" w:cs="Times New Roman"/>
          <w:b w:val="0"/>
          <w:bCs w:val="0"/>
          <w:strike w:val="0"/>
          <w:kern w:val="2"/>
          <w:sz w:val="32"/>
          <w:szCs w:val="20"/>
          <w:lang w:val="en-US" w:eastAsia="zh-CN"/>
        </w:rPr>
      </w:pPr>
      <w:bookmarkStart w:id="126" w:name="_Toc21763"/>
      <w:bookmarkStart w:id="127" w:name="_Toc11655"/>
      <w:bookmarkStart w:id="128" w:name="_Toc8530"/>
      <w:bookmarkStart w:id="129" w:name="_Toc16688"/>
      <w:bookmarkStart w:id="130" w:name="_Toc10563"/>
      <w:bookmarkStart w:id="131" w:name="_Toc20659"/>
      <w:bookmarkStart w:id="132" w:name="_Toc8981"/>
      <w:bookmarkStart w:id="133" w:name="_Toc23342"/>
      <w:bookmarkStart w:id="134" w:name="_Toc21343"/>
      <w:bookmarkStart w:id="135" w:name="_Toc26544"/>
      <w:bookmarkStart w:id="136" w:name="_Toc29332"/>
      <w:r>
        <w:rPr>
          <w:rFonts w:hint="eastAsia" w:ascii="Times New Roman" w:hAnsi="宋体" w:eastAsia="楷体" w:cs="Times New Roman"/>
          <w:b w:val="0"/>
          <w:bCs w:val="0"/>
          <w:strike w:val="0"/>
          <w:kern w:val="2"/>
          <w:sz w:val="32"/>
          <w:szCs w:val="20"/>
          <w:lang w:val="en-US" w:eastAsia="zh-CN"/>
        </w:rPr>
        <w:t>（一）数据格式校验</w:t>
      </w:r>
      <w:bookmarkEnd w:id="126"/>
      <w:bookmarkEnd w:id="127"/>
      <w:bookmarkEnd w:id="128"/>
      <w:bookmarkEnd w:id="129"/>
      <w:bookmarkEnd w:id="130"/>
      <w:bookmarkEnd w:id="131"/>
      <w:bookmarkEnd w:id="132"/>
      <w:bookmarkEnd w:id="133"/>
      <w:bookmarkEnd w:id="134"/>
      <w:bookmarkEnd w:id="135"/>
      <w:bookmarkEnd w:id="136"/>
    </w:p>
    <w:p>
      <w:pPr>
        <w:widowControl/>
        <w:numPr>
          <w:ilvl w:val="0"/>
          <w:numId w:val="1"/>
        </w:numPr>
        <w:bidi w:val="0"/>
        <w:spacing w:before="100" w:line="560" w:lineRule="exact"/>
        <w:ind w:leftChars="0" w:firstLine="643" w:firstLineChars="200"/>
        <w:jc w:val="left"/>
        <w:rPr>
          <w:rFonts w:hint="eastAsia" w:ascii="Times New Roman" w:hAnsi="Times New Roman" w:eastAsia="仿宋" w:cs="宋体"/>
          <w:b/>
          <w:bCs/>
          <w:color w:val="4F81BD"/>
          <w:kern w:val="0"/>
          <w:sz w:val="32"/>
          <w:szCs w:val="32"/>
          <w:lang w:eastAsia="zh-CN"/>
        </w:rPr>
      </w:pPr>
      <w:bookmarkStart w:id="137" w:name="_Toc5431"/>
      <w:bookmarkStart w:id="138" w:name="_Toc26778"/>
      <w:bookmarkStart w:id="139" w:name="_Toc11943"/>
      <w:bookmarkStart w:id="140" w:name="_Toc12366"/>
      <w:bookmarkStart w:id="141" w:name="_Toc475"/>
      <w:bookmarkStart w:id="142" w:name="_Toc18432"/>
      <w:bookmarkStart w:id="143" w:name="_Toc12868"/>
      <w:bookmarkStart w:id="144" w:name="_Toc32534"/>
      <w:bookmarkStart w:id="145" w:name="_Toc30941"/>
      <w:bookmarkStart w:id="146" w:name="_Toc23126"/>
      <w:bookmarkStart w:id="147" w:name="_Toc27509"/>
      <w:bookmarkStart w:id="148" w:name="_Toc31752"/>
      <w:bookmarkStart w:id="149" w:name="_Toc16878"/>
      <w:bookmarkStart w:id="150" w:name="_Toc18376"/>
      <w:r>
        <w:rPr>
          <w:rFonts w:hint="eastAsia" w:ascii="Times New Roman" w:hAnsi="Times New Roman" w:eastAsia="仿宋" w:cs="宋体"/>
          <w:b/>
          <w:bCs/>
          <w:color w:val="4F81BD"/>
          <w:kern w:val="0"/>
          <w:sz w:val="32"/>
          <w:szCs w:val="32"/>
          <w:lang w:eastAsia="zh-CN"/>
        </w:rPr>
        <w:t>校验文件格式</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r>
        <w:rPr>
          <w:rFonts w:hint="eastAsia" w:ascii="Times New Roman" w:eastAsia="仿宋" w:cs="宋体"/>
          <w:b/>
          <w:bCs/>
          <w:kern w:val="0"/>
          <w:sz w:val="32"/>
          <w:szCs w:val="32"/>
          <w:lang w:eastAsia="zh-CN"/>
        </w:rPr>
        <w:t>。</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具体要求参见《基金行业数据集中备份接口规范V2.2》第4章数据接口中第4.1节信息格式、第4.2节数据报送机制、第4.3节接口文件名定义等章节相关规范。</w:t>
      </w:r>
    </w:p>
    <w:p>
      <w:pPr>
        <w:widowControl/>
        <w:numPr>
          <w:ilvl w:val="0"/>
          <w:numId w:val="1"/>
        </w:numPr>
        <w:bidi w:val="0"/>
        <w:spacing w:before="100" w:line="560" w:lineRule="exact"/>
        <w:ind w:leftChars="0" w:firstLine="643" w:firstLineChars="200"/>
        <w:jc w:val="left"/>
        <w:rPr>
          <w:rFonts w:hint="eastAsia" w:ascii="Times New Roman" w:hAnsi="Times New Roman" w:eastAsia="仿宋" w:cs="宋体"/>
          <w:b/>
          <w:bCs/>
          <w:color w:val="4F81BD"/>
          <w:kern w:val="0"/>
          <w:sz w:val="32"/>
          <w:szCs w:val="32"/>
          <w:lang w:eastAsia="zh-CN"/>
        </w:rPr>
      </w:pPr>
      <w:bookmarkStart w:id="151" w:name="_Toc3650"/>
      <w:bookmarkStart w:id="152" w:name="_Toc17992"/>
      <w:bookmarkStart w:id="153" w:name="_Toc12942"/>
      <w:bookmarkStart w:id="154" w:name="_Toc10625"/>
      <w:bookmarkStart w:id="155" w:name="_Toc20329"/>
      <w:bookmarkStart w:id="156" w:name="_Toc624"/>
      <w:bookmarkStart w:id="157" w:name="_Toc4421"/>
      <w:bookmarkStart w:id="158" w:name="_Toc20834"/>
      <w:bookmarkStart w:id="159" w:name="_Toc1379"/>
      <w:bookmarkStart w:id="160" w:name="_Toc11749"/>
      <w:bookmarkStart w:id="161" w:name="_Toc29198"/>
      <w:bookmarkStart w:id="162" w:name="_Toc25864"/>
      <w:bookmarkStart w:id="163" w:name="_Toc30204"/>
      <w:bookmarkStart w:id="164" w:name="_Toc10464"/>
      <w:r>
        <w:rPr>
          <w:rFonts w:hint="eastAsia" w:ascii="Times New Roman" w:hAnsi="Times New Roman" w:eastAsia="仿宋" w:cs="宋体"/>
          <w:b/>
          <w:bCs/>
          <w:color w:val="4F81BD"/>
          <w:kern w:val="0"/>
          <w:sz w:val="32"/>
          <w:szCs w:val="32"/>
          <w:lang w:eastAsia="zh-CN"/>
        </w:rPr>
        <w:t>校验字段取值正确性</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字段取值正确性的校验，主要是按照</w:t>
      </w:r>
      <w:r>
        <w:rPr>
          <w:rFonts w:hint="eastAsia" w:ascii="Times New Roman" w:hAnsi="Times New Roman" w:eastAsia="仿宋" w:cs="宋体"/>
          <w:strike w:val="0"/>
          <w:kern w:val="0"/>
          <w:sz w:val="32"/>
          <w:szCs w:val="32"/>
          <w:lang w:val="en-US" w:eastAsia="zh-CN"/>
        </w:rPr>
        <w:t>《基金行业数据集中备份接口规范V2.2》第</w:t>
      </w:r>
      <w:r>
        <w:rPr>
          <w:rFonts w:hint="eastAsia" w:ascii="Times New Roman" w:eastAsia="仿宋" w:cs="宋体"/>
          <w:strike w:val="0"/>
          <w:kern w:val="0"/>
          <w:sz w:val="32"/>
          <w:szCs w:val="32"/>
          <w:lang w:val="en-US" w:eastAsia="zh-CN"/>
        </w:rPr>
        <w:t>4.4节TA业务代码、</w:t>
      </w:r>
      <w:r>
        <w:rPr>
          <w:rFonts w:hint="eastAsia" w:ascii="Times New Roman" w:hAnsi="Times New Roman" w:eastAsia="仿宋" w:cs="宋体"/>
          <w:strike w:val="0"/>
          <w:kern w:val="0"/>
          <w:sz w:val="32"/>
          <w:szCs w:val="32"/>
          <w:lang w:val="en-US" w:eastAsia="zh-CN"/>
        </w:rPr>
        <w:t>4.5节业务数据项</w:t>
      </w:r>
      <w:r>
        <w:rPr>
          <w:rFonts w:hint="eastAsia" w:ascii="Times New Roman" w:eastAsia="仿宋" w:cs="宋体"/>
          <w:strike w:val="0"/>
          <w:kern w:val="0"/>
          <w:sz w:val="32"/>
          <w:szCs w:val="32"/>
          <w:lang w:val="en-US" w:eastAsia="zh-CN"/>
        </w:rPr>
        <w:t>、4.6文件汇总数据项中提到的</w:t>
      </w:r>
      <w:r>
        <w:rPr>
          <w:rFonts w:hint="eastAsia" w:ascii="Times New Roman" w:hAnsi="Times New Roman" w:eastAsia="仿宋" w:cs="宋体"/>
          <w:strike w:val="0"/>
          <w:kern w:val="0"/>
          <w:sz w:val="32"/>
          <w:szCs w:val="32"/>
          <w:lang w:val="en-US" w:eastAsia="zh-CN"/>
        </w:rPr>
        <w:t>要求</w:t>
      </w:r>
      <w:r>
        <w:rPr>
          <w:rFonts w:hint="eastAsia" w:ascii="Times New Roman" w:eastAsia="仿宋" w:cs="宋体"/>
          <w:strike w:val="0"/>
          <w:kern w:val="0"/>
          <w:sz w:val="32"/>
          <w:szCs w:val="32"/>
          <w:lang w:val="en-US" w:eastAsia="zh-CN"/>
        </w:rPr>
        <w:t>，进行以下校验：</w:t>
      </w:r>
    </w:p>
    <w:p>
      <w:pPr>
        <w:widowControl/>
        <w:numPr>
          <w:ilvl w:val="-1"/>
          <w:numId w:val="0"/>
        </w:numPr>
        <w:autoSpaceDE/>
        <w:autoSpaceDN/>
        <w:adjustRightInd/>
        <w:spacing w:line="560" w:lineRule="exact"/>
        <w:ind w:firstLine="643" w:firstLineChars="200"/>
        <w:jc w:val="left"/>
        <w:rPr>
          <w:rFonts w:hint="eastAsia" w:ascii="Times New Roman" w:hAnsi="Times New Roman" w:eastAsia="仿宋" w:cs="宋体"/>
          <w:b/>
          <w:bCs/>
          <w:strike w:val="0"/>
          <w:kern w:val="0"/>
          <w:sz w:val="32"/>
          <w:szCs w:val="32"/>
          <w:lang w:val="en-US" w:eastAsia="zh-CN"/>
        </w:rPr>
      </w:pPr>
      <w:r>
        <w:rPr>
          <w:rFonts w:hint="eastAsia" w:ascii="Times New Roman" w:eastAsia="仿宋" w:cs="宋体"/>
          <w:b/>
          <w:bCs/>
          <w:strike w:val="0"/>
          <w:kern w:val="0"/>
          <w:sz w:val="32"/>
          <w:szCs w:val="32"/>
          <w:lang w:val="en-US" w:eastAsia="zh-CN"/>
        </w:rPr>
        <w:t>（1）校验</w:t>
      </w:r>
      <w:r>
        <w:rPr>
          <w:rFonts w:hint="eastAsia" w:ascii="Times New Roman" w:hAnsi="Times New Roman" w:eastAsia="仿宋" w:cs="宋体"/>
          <w:b/>
          <w:bCs/>
          <w:strike w:val="0"/>
          <w:kern w:val="0"/>
          <w:sz w:val="32"/>
          <w:szCs w:val="32"/>
          <w:lang w:val="en-US" w:eastAsia="zh-CN"/>
        </w:rPr>
        <w:t>字段类型和</w:t>
      </w:r>
      <w:r>
        <w:rPr>
          <w:rFonts w:hint="eastAsia" w:ascii="Times New Roman" w:eastAsia="仿宋" w:cs="宋体"/>
          <w:b/>
          <w:bCs/>
          <w:strike w:val="0"/>
          <w:kern w:val="0"/>
          <w:sz w:val="32"/>
          <w:szCs w:val="32"/>
          <w:lang w:val="en-US" w:eastAsia="zh-CN"/>
        </w:rPr>
        <w:t>字段</w:t>
      </w:r>
      <w:r>
        <w:rPr>
          <w:rFonts w:hint="eastAsia" w:ascii="Times New Roman" w:hAnsi="Times New Roman" w:eastAsia="仿宋" w:cs="宋体"/>
          <w:b/>
          <w:bCs/>
          <w:strike w:val="0"/>
          <w:kern w:val="0"/>
          <w:sz w:val="32"/>
          <w:szCs w:val="32"/>
          <w:lang w:val="en-US" w:eastAsia="zh-CN"/>
        </w:rPr>
        <w:t>长度</w:t>
      </w:r>
      <w:r>
        <w:rPr>
          <w:rFonts w:hint="eastAsia" w:ascii="Times New Roman" w:eastAsia="仿宋" w:cs="宋体"/>
          <w:b/>
          <w:bCs/>
          <w:strike w:val="0"/>
          <w:kern w:val="0"/>
          <w:sz w:val="32"/>
          <w:szCs w:val="32"/>
          <w:lang w:val="en-US" w:eastAsia="zh-CN"/>
        </w:rPr>
        <w:t>报送</w:t>
      </w:r>
      <w:r>
        <w:rPr>
          <w:rFonts w:hint="eastAsia" w:ascii="Times New Roman" w:hAnsi="Times New Roman" w:eastAsia="仿宋" w:cs="宋体"/>
          <w:b/>
          <w:bCs/>
          <w:strike w:val="0"/>
          <w:kern w:val="0"/>
          <w:sz w:val="32"/>
          <w:szCs w:val="32"/>
          <w:lang w:val="en-US" w:eastAsia="zh-CN"/>
        </w:rPr>
        <w:t>是否正确</w:t>
      </w:r>
    </w:p>
    <w:p>
      <w:pPr>
        <w:widowControl/>
        <w:numPr>
          <w:ilvl w:val="-1"/>
          <w:numId w:val="0"/>
        </w:numPr>
        <w:autoSpaceDE/>
        <w:autoSpaceDN/>
        <w:adjustRightInd/>
        <w:spacing w:line="560" w:lineRule="exact"/>
        <w:ind w:firstLine="643" w:firstLineChars="200"/>
        <w:jc w:val="left"/>
        <w:rPr>
          <w:rFonts w:hint="eastAsia" w:ascii="Times New Roman" w:hAnsi="Times New Roman" w:eastAsia="仿宋" w:cs="宋体"/>
          <w:b/>
          <w:bCs/>
          <w:strike w:val="0"/>
          <w:kern w:val="0"/>
          <w:sz w:val="32"/>
          <w:szCs w:val="32"/>
          <w:lang w:val="en-US" w:eastAsia="zh-CN"/>
        </w:rPr>
      </w:pPr>
      <w:r>
        <w:rPr>
          <w:rFonts w:hint="eastAsia" w:ascii="Times New Roman" w:eastAsia="仿宋" w:cs="宋体"/>
          <w:b/>
          <w:bCs/>
          <w:strike w:val="0"/>
          <w:kern w:val="0"/>
          <w:sz w:val="32"/>
          <w:szCs w:val="32"/>
          <w:lang w:val="en-US" w:eastAsia="zh-CN"/>
        </w:rPr>
        <w:t>（2）</w:t>
      </w:r>
      <w:r>
        <w:rPr>
          <w:rFonts w:hint="eastAsia" w:ascii="Times New Roman" w:hAnsi="Times New Roman" w:eastAsia="仿宋" w:cs="宋体"/>
          <w:b/>
          <w:bCs/>
          <w:strike w:val="0"/>
          <w:kern w:val="0"/>
          <w:sz w:val="32"/>
          <w:szCs w:val="32"/>
          <w:lang w:val="en-US" w:eastAsia="zh-CN"/>
        </w:rPr>
        <w:t>校验必填字段是否填写</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接口规范中，文件是否必填分两部分进行规定，一是文件部分统一规定、二是分业务进行细化规定。如二者不一致，</w:t>
      </w:r>
      <w:r>
        <w:rPr>
          <w:rFonts w:hint="eastAsia" w:ascii="Times New Roman" w:hAnsi="Times New Roman" w:eastAsia="仿宋" w:cs="宋体"/>
          <w:b/>
          <w:bCs/>
          <w:strike w:val="0"/>
          <w:kern w:val="0"/>
          <w:sz w:val="32"/>
          <w:szCs w:val="32"/>
          <w:lang w:val="en-US" w:eastAsia="zh-CN"/>
        </w:rPr>
        <w:t>按照有必填则必填</w:t>
      </w:r>
      <w:r>
        <w:rPr>
          <w:rFonts w:hint="eastAsia" w:ascii="Times New Roman" w:eastAsia="仿宋" w:cs="宋体"/>
          <w:b/>
          <w:bCs/>
          <w:strike w:val="0"/>
          <w:kern w:val="0"/>
          <w:sz w:val="32"/>
          <w:szCs w:val="32"/>
          <w:lang w:val="en-US" w:eastAsia="zh-CN"/>
        </w:rPr>
        <w:t>的</w:t>
      </w:r>
      <w:r>
        <w:rPr>
          <w:rFonts w:hint="eastAsia" w:ascii="Times New Roman" w:hAnsi="Times New Roman" w:eastAsia="仿宋" w:cs="宋体"/>
          <w:b/>
          <w:bCs/>
          <w:strike w:val="0"/>
          <w:kern w:val="0"/>
          <w:sz w:val="32"/>
          <w:szCs w:val="32"/>
          <w:lang w:val="en-US" w:eastAsia="zh-CN"/>
        </w:rPr>
        <w:t>原则处理</w:t>
      </w:r>
      <w:r>
        <w:rPr>
          <w:rFonts w:hint="eastAsia" w:ascii="Times New Roman" w:hAnsi="Times New Roman" w:eastAsia="仿宋" w:cs="宋体"/>
          <w:strike w:val="0"/>
          <w:kern w:val="0"/>
          <w:sz w:val="32"/>
          <w:szCs w:val="32"/>
          <w:lang w:val="en-US" w:eastAsia="zh-CN"/>
        </w:rPr>
        <w:t>：如果文件规定必填，则所有业务</w:t>
      </w:r>
      <w:r>
        <w:rPr>
          <w:rFonts w:hint="eastAsia" w:ascii="Times New Roman" w:eastAsia="仿宋" w:cs="宋体"/>
          <w:strike w:val="0"/>
          <w:kern w:val="0"/>
          <w:sz w:val="32"/>
          <w:szCs w:val="32"/>
          <w:lang w:val="en-US" w:eastAsia="zh-CN"/>
        </w:rPr>
        <w:t>中该字段</w:t>
      </w:r>
      <w:r>
        <w:rPr>
          <w:rFonts w:hint="eastAsia" w:ascii="Times New Roman" w:hAnsi="Times New Roman" w:eastAsia="仿宋" w:cs="宋体"/>
          <w:strike w:val="0"/>
          <w:kern w:val="0"/>
          <w:sz w:val="32"/>
          <w:szCs w:val="32"/>
          <w:lang w:val="en-US" w:eastAsia="zh-CN"/>
        </w:rPr>
        <w:t>均必填；如果文件规定非必填，业务规定必填，则本业务代码下该字段必填。</w:t>
      </w:r>
      <w:r>
        <w:rPr>
          <w:rFonts w:hint="eastAsia" w:ascii="Times New Roman" w:eastAsia="仿宋" w:cs="宋体"/>
          <w:strike w:val="0"/>
          <w:kern w:val="0"/>
          <w:sz w:val="32"/>
          <w:szCs w:val="32"/>
          <w:lang w:val="en-US" w:eastAsia="zh-CN"/>
        </w:rPr>
        <w:t>如有特例，将在本文档数据文件报送说明章节中特别标注说明。</w:t>
      </w:r>
    </w:p>
    <w:p>
      <w:pPr>
        <w:widowControl/>
        <w:numPr>
          <w:ilvl w:val="-1"/>
          <w:numId w:val="0"/>
        </w:numPr>
        <w:autoSpaceDE/>
        <w:autoSpaceDN/>
        <w:adjustRightInd/>
        <w:spacing w:line="560" w:lineRule="exact"/>
        <w:ind w:firstLine="643" w:firstLineChars="200"/>
        <w:jc w:val="left"/>
        <w:rPr>
          <w:rFonts w:hint="eastAsia" w:ascii="Times New Roman" w:hAnsi="Times New Roman" w:eastAsia="仿宋" w:cs="宋体"/>
          <w:b/>
          <w:bCs/>
          <w:strike w:val="0"/>
          <w:kern w:val="0"/>
          <w:sz w:val="32"/>
          <w:szCs w:val="32"/>
          <w:lang w:val="en-US" w:eastAsia="zh-CN"/>
        </w:rPr>
      </w:pPr>
      <w:r>
        <w:rPr>
          <w:rFonts w:hint="eastAsia" w:ascii="Times New Roman" w:eastAsia="仿宋" w:cs="宋体"/>
          <w:b/>
          <w:bCs/>
          <w:strike w:val="0"/>
          <w:kern w:val="0"/>
          <w:sz w:val="32"/>
          <w:szCs w:val="32"/>
          <w:lang w:val="en-US" w:eastAsia="zh-CN"/>
        </w:rPr>
        <w:t>（3）校验</w:t>
      </w:r>
      <w:r>
        <w:rPr>
          <w:rFonts w:hint="eastAsia" w:ascii="Times New Roman" w:hAnsi="Times New Roman" w:eastAsia="仿宋" w:cs="宋体"/>
          <w:b/>
          <w:bCs/>
          <w:strike w:val="0"/>
          <w:kern w:val="0"/>
          <w:sz w:val="32"/>
          <w:szCs w:val="32"/>
          <w:lang w:val="en-US" w:eastAsia="zh-CN"/>
        </w:rPr>
        <w:t>字段取值是否</w:t>
      </w:r>
      <w:r>
        <w:rPr>
          <w:rFonts w:hint="eastAsia" w:ascii="Times New Roman" w:eastAsia="仿宋" w:cs="宋体"/>
          <w:b/>
          <w:bCs/>
          <w:strike w:val="0"/>
          <w:kern w:val="0"/>
          <w:sz w:val="32"/>
          <w:szCs w:val="32"/>
          <w:lang w:val="en-US" w:eastAsia="zh-CN"/>
        </w:rPr>
        <w:t>符合接口规范</w:t>
      </w:r>
    </w:p>
    <w:p>
      <w:pPr>
        <w:widowControl/>
        <w:numPr>
          <w:ilvl w:val="-1"/>
          <w:numId w:val="0"/>
        </w:numPr>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对于接口规定必填字段，需填写并符合接口规范；对于接口规定非必填字段如填写，则需符合接口规范。特别强调如下：有数据字典的字段，取值应符合</w:t>
      </w:r>
      <w:r>
        <w:rPr>
          <w:rFonts w:hint="eastAsia" w:ascii="Times New Roman" w:hAnsi="Times New Roman" w:eastAsia="仿宋" w:cs="宋体"/>
          <w:strike w:val="0"/>
          <w:kern w:val="0"/>
          <w:sz w:val="32"/>
          <w:szCs w:val="32"/>
          <w:lang w:val="en-US" w:eastAsia="zh-CN"/>
        </w:rPr>
        <w:t>数据字典</w:t>
      </w:r>
      <w:r>
        <w:rPr>
          <w:rFonts w:hint="eastAsia" w:ascii="Times New Roman" w:eastAsia="仿宋" w:cs="宋体"/>
          <w:strike w:val="0"/>
          <w:kern w:val="0"/>
          <w:sz w:val="32"/>
          <w:szCs w:val="32"/>
          <w:lang w:val="en-US" w:eastAsia="zh-CN"/>
        </w:rPr>
        <w:t>；有特定格式的字段，如</w:t>
      </w:r>
      <w:r>
        <w:rPr>
          <w:rFonts w:hint="eastAsia" w:ascii="Times New Roman" w:eastAsia="仿宋" w:cs="宋体"/>
          <w:b w:val="0"/>
          <w:bCs w:val="0"/>
          <w:strike w:val="0"/>
          <w:kern w:val="0"/>
          <w:sz w:val="32"/>
          <w:szCs w:val="32"/>
          <w:lang w:val="en-US" w:eastAsia="zh-CN"/>
        </w:rPr>
        <w:t>日期、时间，取值应符合YYYYMMDD、HHMMSS等相关格式。</w:t>
      </w:r>
    </w:p>
    <w:p>
      <w:pPr>
        <w:widowControl/>
        <w:numPr>
          <w:ilvl w:val="-1"/>
          <w:numId w:val="0"/>
        </w:numPr>
        <w:autoSpaceDE/>
        <w:autoSpaceDN/>
        <w:adjustRightInd/>
        <w:spacing w:line="560" w:lineRule="exact"/>
        <w:ind w:firstLine="643" w:firstLineChars="200"/>
        <w:jc w:val="left"/>
        <w:rPr>
          <w:rFonts w:hint="eastAsia" w:ascii="Times New Roman" w:hAnsi="Times New Roman" w:eastAsia="仿宋" w:cs="宋体"/>
          <w:strike w:val="0"/>
          <w:kern w:val="0"/>
          <w:sz w:val="32"/>
          <w:szCs w:val="32"/>
          <w:lang w:val="en-US" w:eastAsia="zh-CN"/>
        </w:rPr>
      </w:pPr>
      <w:r>
        <w:rPr>
          <w:rFonts w:hint="eastAsia" w:ascii="Times New Roman" w:eastAsia="仿宋" w:cs="宋体"/>
          <w:b/>
          <w:bCs/>
          <w:strike w:val="0"/>
          <w:kern w:val="0"/>
          <w:sz w:val="32"/>
          <w:szCs w:val="32"/>
          <w:lang w:val="en-US" w:eastAsia="zh-CN"/>
        </w:rPr>
        <w:t>（4）接口约定的其他校验项。</w:t>
      </w:r>
    </w:p>
    <w:p>
      <w:pPr>
        <w:widowControl/>
        <w:numPr>
          <w:ilvl w:val="-1"/>
          <w:numId w:val="0"/>
        </w:numPr>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本次升级，增加对接口中特殊约定事项的校验内容。如对接口约定填写为空的字段进行严格校验。举例：份额对账文件（95/Z5/Q5/S5）中，约定报送明细标志为‘0-按基金汇总’、‘3-按（基金+销售机构）汇总’的记录时，“投资人基金账号”、“投资人交易账号”等字段不填。</w:t>
      </w:r>
    </w:p>
    <w:p>
      <w:pPr>
        <w:pStyle w:val="3"/>
        <w:numPr>
          <w:ilvl w:val="0"/>
          <w:numId w:val="0"/>
        </w:numPr>
        <w:bidi w:val="0"/>
        <w:spacing w:before="100" w:line="240" w:lineRule="auto"/>
        <w:ind w:leftChars="0" w:firstLine="0"/>
        <w:rPr>
          <w:rFonts w:hint="eastAsia" w:ascii="Times New Roman" w:hAnsi="宋体" w:eastAsia="楷体" w:cs="Times New Roman"/>
          <w:b w:val="0"/>
          <w:bCs w:val="0"/>
          <w:color w:val="4F81BD"/>
          <w:sz w:val="32"/>
          <w:szCs w:val="20"/>
          <w:lang w:val="en-US" w:eastAsia="zh-CN"/>
        </w:rPr>
      </w:pPr>
      <w:bookmarkStart w:id="165" w:name="_Toc19798"/>
      <w:bookmarkStart w:id="166" w:name="_Toc13586"/>
      <w:bookmarkStart w:id="167" w:name="_Toc9829"/>
      <w:bookmarkStart w:id="168" w:name="_Toc10678"/>
      <w:bookmarkStart w:id="169" w:name="_Toc32391"/>
      <w:bookmarkStart w:id="170" w:name="_Toc4573"/>
      <w:bookmarkStart w:id="171" w:name="_Toc27043"/>
      <w:r>
        <w:rPr>
          <w:rFonts w:hint="eastAsia" w:ascii="Times New Roman" w:hAnsi="宋体" w:eastAsia="楷体" w:cs="Times New Roman"/>
          <w:b w:val="0"/>
          <w:bCs w:val="0"/>
          <w:strike w:val="0"/>
          <w:kern w:val="2"/>
          <w:sz w:val="32"/>
          <w:szCs w:val="20"/>
          <w:lang w:val="en-US" w:eastAsia="zh-CN"/>
        </w:rPr>
        <w:t>（二）</w:t>
      </w:r>
      <w:bookmarkEnd w:id="165"/>
      <w:bookmarkEnd w:id="166"/>
      <w:bookmarkEnd w:id="167"/>
      <w:bookmarkStart w:id="172" w:name="_Toc17684"/>
      <w:bookmarkStart w:id="173" w:name="_Toc29924"/>
      <w:bookmarkStart w:id="174" w:name="_Toc11165"/>
      <w:bookmarkStart w:id="175" w:name="_Toc16424"/>
      <w:bookmarkStart w:id="176" w:name="_Toc5727"/>
      <w:bookmarkStart w:id="177" w:name="_Toc8668"/>
      <w:bookmarkStart w:id="178" w:name="_Toc22550"/>
      <w:bookmarkStart w:id="179" w:name="_Toc3074"/>
      <w:bookmarkStart w:id="180" w:name="_Toc5112"/>
      <w:bookmarkStart w:id="181" w:name="_Toc191"/>
      <w:bookmarkStart w:id="182" w:name="_Toc14533"/>
      <w:bookmarkStart w:id="183" w:name="_Toc29369"/>
      <w:bookmarkStart w:id="184" w:name="_Toc21777"/>
      <w:bookmarkStart w:id="185" w:name="_Toc5228"/>
      <w:bookmarkStart w:id="186" w:name="_Toc10736"/>
      <w:bookmarkStart w:id="187" w:name="_Toc5633"/>
      <w:bookmarkStart w:id="188" w:name="_Toc18121"/>
      <w:bookmarkStart w:id="189" w:name="_Toc18388"/>
      <w:bookmarkStart w:id="190" w:name="_Toc12034"/>
      <w:bookmarkStart w:id="191" w:name="_Toc21803"/>
      <w:bookmarkStart w:id="192" w:name="_Toc19397"/>
      <w:r>
        <w:rPr>
          <w:rFonts w:hint="eastAsia" w:ascii="Times New Roman" w:hAnsi="宋体" w:eastAsia="楷体" w:cs="Times New Roman"/>
          <w:b w:val="0"/>
          <w:bCs w:val="0"/>
          <w:color w:val="4F81BD"/>
          <w:sz w:val="32"/>
          <w:szCs w:val="20"/>
          <w:lang w:val="en-US" w:eastAsia="zh-CN"/>
        </w:rPr>
        <w:t>校验结果</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Pr>
          <w:rFonts w:hint="eastAsia" w:ascii="Times New Roman" w:hAnsi="宋体" w:eastAsia="楷体" w:cs="Times New Roman"/>
          <w:b w:val="0"/>
          <w:bCs w:val="0"/>
          <w:color w:val="4F81BD"/>
          <w:sz w:val="32"/>
          <w:szCs w:val="20"/>
          <w:lang w:val="en-US" w:eastAsia="zh-CN"/>
        </w:rPr>
        <w:t>反馈</w:t>
      </w:r>
      <w:bookmarkEnd w:id="168"/>
      <w:bookmarkEnd w:id="169"/>
      <w:bookmarkEnd w:id="170"/>
      <w:bookmarkEnd w:id="171"/>
      <w:bookmarkEnd w:id="186"/>
      <w:bookmarkEnd w:id="187"/>
      <w:bookmarkEnd w:id="188"/>
      <w:bookmarkEnd w:id="189"/>
      <w:bookmarkEnd w:id="190"/>
      <w:bookmarkEnd w:id="191"/>
      <w:bookmarkEnd w:id="192"/>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校验结果文件包括</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DEN文件，</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ACC文件，</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ERR文件：</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文件名.DEN文件：若参与人发送接口规范以外的其他文件</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 xml:space="preserve"> 中数平台</w:t>
      </w:r>
      <w:r>
        <w:rPr>
          <w:rFonts w:hint="eastAsia" w:ascii="Times New Roman" w:eastAsia="仿宋" w:cs="宋体"/>
          <w:strike w:val="0"/>
          <w:kern w:val="0"/>
          <w:sz w:val="32"/>
          <w:szCs w:val="32"/>
          <w:lang w:val="en-US" w:eastAsia="zh-CN"/>
        </w:rPr>
        <w:t>拒接，</w:t>
      </w:r>
      <w:r>
        <w:rPr>
          <w:rFonts w:hint="eastAsia" w:ascii="Times New Roman" w:hAnsi="Times New Roman" w:eastAsia="仿宋" w:cs="宋体"/>
          <w:strike w:val="0"/>
          <w:kern w:val="0"/>
          <w:sz w:val="32"/>
          <w:szCs w:val="32"/>
          <w:lang w:val="en-US" w:eastAsia="zh-CN"/>
        </w:rPr>
        <w:t>返回“文件名.DEN”；</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文件名.ERR文件：若接口文件未通过校验，中数平台返回“文件名.ERR”文件，并在文件内容中说明具体原因（</w:t>
      </w:r>
      <w:r>
        <w:rPr>
          <w:rFonts w:hint="eastAsia" w:ascii="Times New Roman" w:eastAsia="仿宋" w:cs="宋体"/>
          <w:strike w:val="0"/>
          <w:kern w:val="0"/>
          <w:sz w:val="32"/>
          <w:szCs w:val="32"/>
          <w:lang w:val="en-US" w:eastAsia="zh-CN"/>
        </w:rPr>
        <w:t>生产环境：反馈</w:t>
      </w:r>
      <w:r>
        <w:rPr>
          <w:rFonts w:hint="eastAsia" w:ascii="Times New Roman" w:hAnsi="Times New Roman" w:eastAsia="仿宋" w:cs="宋体"/>
          <w:strike w:val="0"/>
          <w:kern w:val="0"/>
          <w:sz w:val="32"/>
          <w:szCs w:val="32"/>
          <w:lang w:val="en-US" w:eastAsia="zh-CN"/>
        </w:rPr>
        <w:t>校验出的</w:t>
      </w:r>
      <w:r>
        <w:rPr>
          <w:rFonts w:hint="eastAsia" w:ascii="Times New Roman" w:eastAsia="仿宋" w:cs="宋体"/>
          <w:strike w:val="0"/>
          <w:kern w:val="0"/>
          <w:sz w:val="32"/>
          <w:szCs w:val="32"/>
          <w:lang w:val="en-US" w:eastAsia="zh-CN"/>
        </w:rPr>
        <w:t>前1000</w:t>
      </w:r>
      <w:r>
        <w:rPr>
          <w:rFonts w:hint="eastAsia" w:ascii="Times New Roman" w:hAnsi="Times New Roman" w:eastAsia="仿宋" w:cs="宋体"/>
          <w:strike w:val="0"/>
          <w:kern w:val="0"/>
          <w:sz w:val="32"/>
          <w:szCs w:val="32"/>
          <w:lang w:val="en-US" w:eastAsia="zh-CN"/>
        </w:rPr>
        <w:t>个错误</w:t>
      </w:r>
      <w:r>
        <w:rPr>
          <w:rFonts w:hint="eastAsia" w:ascii="Times New Roman" w:eastAsia="仿宋" w:cs="宋体"/>
          <w:strike w:val="0"/>
          <w:kern w:val="0"/>
          <w:sz w:val="32"/>
          <w:szCs w:val="32"/>
          <w:lang w:val="en-US" w:eastAsia="zh-CN"/>
        </w:rPr>
        <w:t>，测试环境，反馈所有错误</w:t>
      </w:r>
      <w:r>
        <w:rPr>
          <w:rFonts w:hint="eastAsia" w:ascii="Times New Roman" w:hAnsi="Times New Roman" w:eastAsia="仿宋" w:cs="宋体"/>
          <w:strike w:val="0"/>
          <w:kern w:val="0"/>
          <w:sz w:val="32"/>
          <w:szCs w:val="32"/>
          <w:lang w:val="en-US" w:eastAsia="zh-CN"/>
        </w:rPr>
        <w:t>）；</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文件名.ACC文件：若接口文件校验成功，中数平台返回“文件名.ACC”文件。</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193" w:name="_Toc31433"/>
      <w:bookmarkStart w:id="194" w:name="_Toc4291"/>
      <w:bookmarkStart w:id="195" w:name="_Toc28837"/>
      <w:bookmarkStart w:id="196" w:name="_Toc30582"/>
      <w:bookmarkStart w:id="197" w:name="_Toc26234"/>
      <w:bookmarkStart w:id="198" w:name="_Toc6190"/>
      <w:bookmarkStart w:id="199" w:name="_Toc32218"/>
      <w:bookmarkStart w:id="200" w:name="_Toc5085"/>
      <w:bookmarkStart w:id="201" w:name="_Toc22506"/>
      <w:bookmarkStart w:id="202" w:name="_Toc31963"/>
      <w:bookmarkStart w:id="203" w:name="_Toc14620"/>
      <w:bookmarkStart w:id="204" w:name="_Toc22597"/>
      <w:bookmarkStart w:id="205" w:name="_Toc22030"/>
      <w:bookmarkStart w:id="206" w:name="_Toc28436"/>
      <w:bookmarkStart w:id="207" w:name="_Toc11503"/>
      <w:bookmarkStart w:id="208" w:name="_Toc6438"/>
      <w:bookmarkStart w:id="209" w:name="_Toc31048"/>
      <w:bookmarkStart w:id="210" w:name="_Toc30852"/>
      <w:bookmarkStart w:id="211" w:name="_Toc13738"/>
      <w:bookmarkStart w:id="212" w:name="_Toc22884"/>
      <w:bookmarkStart w:id="213" w:name="_Toc14696"/>
      <w:bookmarkStart w:id="214" w:name="_Toc25815"/>
      <w:bookmarkStart w:id="215" w:name="_Toc28505"/>
      <w:bookmarkStart w:id="216" w:name="_Toc22069"/>
      <w:bookmarkStart w:id="217" w:name="_Toc8240"/>
      <w:r>
        <w:rPr>
          <w:rFonts w:hint="eastAsia" w:ascii="Times New Roman" w:hAnsi="Times New Roman" w:eastAsia="黑体" w:cs="Times New Roman"/>
          <w:b w:val="0"/>
          <w:bCs w:val="0"/>
          <w:color w:val="4F81BD"/>
          <w:kern w:val="44"/>
          <w:sz w:val="32"/>
          <w:szCs w:val="32"/>
          <w:lang w:eastAsia="zh-CN"/>
        </w:rPr>
        <w:t>六、数据文件报送说明</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所有数据文件均</w:t>
      </w:r>
      <w:r>
        <w:rPr>
          <w:rFonts w:hint="eastAsia" w:ascii="Times New Roman" w:eastAsia="仿宋" w:cs="宋体"/>
          <w:strike w:val="0"/>
          <w:kern w:val="0"/>
          <w:sz w:val="32"/>
          <w:szCs w:val="32"/>
          <w:lang w:val="en-US" w:eastAsia="zh-CN"/>
        </w:rPr>
        <w:t>须</w:t>
      </w:r>
      <w:r>
        <w:rPr>
          <w:rFonts w:hint="eastAsia" w:ascii="Times New Roman" w:hAnsi="Times New Roman" w:eastAsia="仿宋" w:cs="宋体"/>
          <w:strike w:val="0"/>
          <w:kern w:val="0"/>
          <w:sz w:val="32"/>
          <w:szCs w:val="32"/>
          <w:lang w:val="en-US" w:eastAsia="zh-CN"/>
        </w:rPr>
        <w:t>按照接口规范进行报送，以下情况需特别注意：</w:t>
      </w:r>
    </w:p>
    <w:p>
      <w:pPr>
        <w:pStyle w:val="3"/>
        <w:numPr>
          <w:ilvl w:val="0"/>
          <w:numId w:val="0"/>
        </w:numPr>
        <w:bidi w:val="0"/>
        <w:spacing w:before="100" w:line="240" w:lineRule="auto"/>
        <w:ind w:leftChars="0"/>
        <w:rPr>
          <w:rFonts w:hint="eastAsia" w:ascii="Times New Roman" w:hAnsi="宋体" w:eastAsia="楷体" w:cs="Times New Roman"/>
          <w:b w:val="0"/>
          <w:bCs w:val="0"/>
          <w:color w:val="4F81BD"/>
          <w:sz w:val="32"/>
          <w:szCs w:val="20"/>
          <w:lang w:val="en-US" w:eastAsia="zh-CN"/>
        </w:rPr>
      </w:pPr>
      <w:bookmarkStart w:id="218" w:name="_Toc27930"/>
      <w:bookmarkStart w:id="219" w:name="_Toc12457"/>
      <w:bookmarkStart w:id="220" w:name="_Toc7826"/>
      <w:bookmarkStart w:id="221" w:name="_Toc26335"/>
      <w:bookmarkStart w:id="222" w:name="_Toc1298"/>
      <w:bookmarkStart w:id="223" w:name="_Toc26781"/>
      <w:bookmarkStart w:id="224" w:name="_Toc9640"/>
      <w:bookmarkStart w:id="225" w:name="_Toc9219"/>
      <w:bookmarkStart w:id="226" w:name="_Toc25685"/>
      <w:bookmarkStart w:id="227" w:name="_Toc28920"/>
      <w:bookmarkStart w:id="228" w:name="_Toc11768"/>
      <w:bookmarkStart w:id="229" w:name="_Toc25424"/>
      <w:bookmarkStart w:id="230" w:name="_Toc16901"/>
      <w:bookmarkStart w:id="231" w:name="_Toc15294"/>
      <w:bookmarkStart w:id="232" w:name="_Toc28699"/>
      <w:bookmarkStart w:id="233" w:name="_Toc10108"/>
      <w:bookmarkStart w:id="234" w:name="_Toc17802"/>
      <w:bookmarkStart w:id="235" w:name="_Toc21117"/>
      <w:bookmarkStart w:id="236" w:name="_Toc18048"/>
      <w:bookmarkStart w:id="237" w:name="_Toc21656"/>
      <w:bookmarkStart w:id="238" w:name="_Toc21968"/>
      <w:bookmarkStart w:id="239" w:name="_Toc15711"/>
      <w:bookmarkStart w:id="240" w:name="_Toc15400"/>
      <w:bookmarkStart w:id="241" w:name="_Toc14267"/>
      <w:bookmarkStart w:id="242" w:name="_Toc19149"/>
      <w:r>
        <w:rPr>
          <w:rFonts w:hint="eastAsia" w:ascii="Times New Roman" w:hAnsi="宋体" w:eastAsia="楷体" w:cs="Times New Roman"/>
          <w:b w:val="0"/>
          <w:bCs w:val="0"/>
          <w:color w:val="4F81BD"/>
          <w:sz w:val="32"/>
          <w:szCs w:val="20"/>
          <w:lang w:val="en-US" w:eastAsia="zh-CN"/>
        </w:rPr>
        <w:t>（一）账户确认（92/Z2）、账户增量对账（D2/U2）、账户全量对账（Q2/S2）</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pPr>
        <w:widowControl/>
        <w:autoSpaceDE/>
        <w:autoSpaceDN/>
        <w:adjustRightInd/>
        <w:spacing w:line="560" w:lineRule="exact"/>
        <w:ind w:firstLine="643"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b/>
          <w:bCs/>
          <w:strike w:val="0"/>
          <w:kern w:val="0"/>
          <w:sz w:val="32"/>
          <w:szCs w:val="32"/>
          <w:lang w:val="en-US" w:eastAsia="zh-CN"/>
        </w:rPr>
        <w:t>92</w:t>
      </w:r>
      <w:r>
        <w:rPr>
          <w:rFonts w:hint="eastAsia" w:ascii="Times New Roman" w:eastAsia="仿宋" w:cs="宋体"/>
          <w:b/>
          <w:bCs/>
          <w:strike w:val="0"/>
          <w:kern w:val="0"/>
          <w:sz w:val="32"/>
          <w:szCs w:val="32"/>
          <w:lang w:val="en-US" w:eastAsia="zh-CN"/>
        </w:rPr>
        <w:t>/Z2</w:t>
      </w:r>
      <w:r>
        <w:rPr>
          <w:rFonts w:hint="eastAsia" w:ascii="Times New Roman" w:hAnsi="Times New Roman" w:eastAsia="仿宋" w:cs="宋体"/>
          <w:b/>
          <w:bCs/>
          <w:strike w:val="0"/>
          <w:kern w:val="0"/>
          <w:sz w:val="32"/>
          <w:szCs w:val="32"/>
          <w:lang w:val="en-US" w:eastAsia="zh-CN"/>
        </w:rPr>
        <w:t>文件</w:t>
      </w:r>
      <w:r>
        <w:rPr>
          <w:rFonts w:hint="eastAsia" w:ascii="Times New Roman" w:eastAsia="仿宋" w:cs="宋体"/>
          <w:b/>
          <w:bCs/>
          <w:strike w:val="0"/>
          <w:kern w:val="0"/>
          <w:sz w:val="32"/>
          <w:szCs w:val="32"/>
          <w:lang w:val="en-US" w:eastAsia="zh-CN"/>
        </w:rPr>
        <w:t>报送</w:t>
      </w:r>
      <w:r>
        <w:rPr>
          <w:rFonts w:hint="eastAsia" w:ascii="Times New Roman" w:hAnsi="Times New Roman" w:eastAsia="仿宋" w:cs="宋体"/>
          <w:b/>
          <w:bCs/>
          <w:strike w:val="0"/>
          <w:kern w:val="0"/>
          <w:sz w:val="32"/>
          <w:szCs w:val="32"/>
          <w:lang w:val="en-US" w:eastAsia="zh-CN"/>
        </w:rPr>
        <w:t>注意事项：</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若销售机构申报的是001-基金账户开户申请业务，则TA应报送101业务（无论该基金账户是否已经开立过）。若销售机构申报的是008-增加交易账户业务，则TA应报送108业务，不能报送101业务。</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102-销户确认业务表示基金账户实际被销户。若销售机构申报002-销户业务，但TA仅做撤销交易账户处理、并未销基金账户，则应报送109业务，不能报送102业务。</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若销售机构申报009-撤销交易账户业务，但TA同时注销了基金账户和交易账户，应同时报送102和109业务。</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同一TA报送数据，TA确认流水号必须唯一。92</w:t>
      </w:r>
      <w:r>
        <w:rPr>
          <w:rFonts w:hint="eastAsia" w:ascii="Times New Roman" w:eastAsia="仿宋" w:cs="宋体"/>
          <w:strike w:val="0"/>
          <w:kern w:val="0"/>
          <w:sz w:val="32"/>
          <w:szCs w:val="32"/>
          <w:lang w:val="en-US" w:eastAsia="zh-CN"/>
        </w:rPr>
        <w:t>/Z2</w:t>
      </w:r>
      <w:r>
        <w:rPr>
          <w:rFonts w:hint="eastAsia" w:ascii="Times New Roman" w:hAnsi="Times New Roman" w:eastAsia="仿宋" w:cs="宋体"/>
          <w:strike w:val="0"/>
          <w:kern w:val="0"/>
          <w:sz w:val="32"/>
          <w:szCs w:val="32"/>
          <w:lang w:val="en-US" w:eastAsia="zh-CN"/>
        </w:rPr>
        <w:t>文件，对触发了关联交易账号销户的情况，申请单编号可以相同，对被触发的业务，“是否注册登记人发起业务标志”赋值为“1</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由注册登记人发起”。</w:t>
      </w:r>
    </w:p>
    <w:p>
      <w:pPr>
        <w:widowControl/>
        <w:autoSpaceDE/>
        <w:autoSpaceDN/>
        <w:adjustRightInd/>
        <w:spacing w:line="560" w:lineRule="exact"/>
        <w:ind w:firstLine="643" w:firstLineChars="200"/>
        <w:jc w:val="left"/>
        <w:rPr>
          <w:rFonts w:hint="default" w:ascii="Times New Roman" w:hAnsi="Times New Roman" w:eastAsia="仿宋" w:cs="宋体"/>
          <w:b/>
          <w:bCs/>
          <w:strike w:val="0"/>
          <w:kern w:val="0"/>
          <w:sz w:val="32"/>
          <w:szCs w:val="32"/>
          <w:lang w:val="en-US" w:eastAsia="zh-CN"/>
        </w:rPr>
      </w:pPr>
      <w:r>
        <w:rPr>
          <w:rFonts w:hint="eastAsia" w:ascii="Times New Roman" w:hAnsi="Times New Roman" w:eastAsia="仿宋" w:cs="宋体"/>
          <w:b/>
          <w:bCs/>
          <w:strike w:val="0"/>
          <w:kern w:val="0"/>
          <w:sz w:val="32"/>
          <w:szCs w:val="32"/>
          <w:lang w:val="en-US" w:eastAsia="zh-CN"/>
        </w:rPr>
        <w:t>D2/U</w:t>
      </w:r>
      <w:r>
        <w:rPr>
          <w:rFonts w:hint="eastAsia" w:ascii="Times New Roman" w:eastAsia="仿宋" w:cs="宋体"/>
          <w:b/>
          <w:bCs/>
          <w:strike w:val="0"/>
          <w:kern w:val="0"/>
          <w:sz w:val="32"/>
          <w:szCs w:val="32"/>
          <w:lang w:val="en-US" w:eastAsia="zh-CN"/>
        </w:rPr>
        <w:t>2文件报送注意事项：</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对于92文件中确认成功的业务：如涉及基金账户开户或销户、或变更基金账户资料（包括101-开户确认业务、102-销户确认业务、103-账户资料修改确认业务、ZGT-账户柜台修改、以及109-撤销交易账户业务引发的TA将基金账户销户等），应在账户对账D2</w:t>
      </w:r>
      <w:r>
        <w:rPr>
          <w:rFonts w:hint="eastAsia" w:ascii="Times New Roman" w:eastAsia="仿宋" w:cs="宋体"/>
          <w:strike w:val="0"/>
          <w:kern w:val="0"/>
          <w:sz w:val="32"/>
          <w:szCs w:val="32"/>
          <w:lang w:val="en-US" w:eastAsia="zh-CN"/>
        </w:rPr>
        <w:t>/U2</w:t>
      </w:r>
      <w:r>
        <w:rPr>
          <w:rFonts w:hint="eastAsia" w:ascii="Times New Roman" w:hAnsi="Times New Roman" w:eastAsia="仿宋" w:cs="宋体"/>
          <w:strike w:val="0"/>
          <w:kern w:val="0"/>
          <w:sz w:val="32"/>
          <w:szCs w:val="32"/>
          <w:lang w:val="en-US" w:eastAsia="zh-CN"/>
        </w:rPr>
        <w:t>文件中同步报送相关基金账户的114业务；如涉及交易账户新增或销户(包括108-增加交易账户确认、109-撤销交易账户确认、158-变更交易账户确认、101-开户确认业务引发的TA新增交易账户、以及102-销户确认引发的TA销交易账户等)，应在账户对账D2</w:t>
      </w:r>
      <w:r>
        <w:rPr>
          <w:rFonts w:hint="eastAsia" w:ascii="Times New Roman" w:eastAsia="仿宋" w:cs="宋体"/>
          <w:strike w:val="0"/>
          <w:kern w:val="0"/>
          <w:sz w:val="32"/>
          <w:szCs w:val="32"/>
          <w:lang w:val="en-US" w:eastAsia="zh-CN"/>
        </w:rPr>
        <w:t>/U2</w:t>
      </w:r>
      <w:r>
        <w:rPr>
          <w:rFonts w:hint="eastAsia" w:ascii="Times New Roman" w:hAnsi="Times New Roman" w:eastAsia="仿宋" w:cs="宋体"/>
          <w:strike w:val="0"/>
          <w:kern w:val="0"/>
          <w:sz w:val="32"/>
          <w:szCs w:val="32"/>
          <w:lang w:val="en-US" w:eastAsia="zh-CN"/>
        </w:rPr>
        <w:t>文件中同步报送相关交易账户的115业务。</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每日基金账户资料或基金账户状态（新开、销户等）发生变化后，</w:t>
      </w:r>
      <w:r>
        <w:rPr>
          <w:rFonts w:hint="eastAsia" w:ascii="Times New Roman" w:eastAsia="仿宋" w:cs="宋体"/>
          <w:strike w:val="0"/>
          <w:kern w:val="0"/>
          <w:sz w:val="32"/>
          <w:szCs w:val="32"/>
          <w:lang w:val="en-US" w:eastAsia="zh-CN"/>
        </w:rPr>
        <w:t>需通过账户对账文件</w:t>
      </w:r>
      <w:r>
        <w:rPr>
          <w:rFonts w:hint="eastAsia" w:ascii="Times New Roman" w:hAnsi="Times New Roman" w:eastAsia="仿宋" w:cs="宋体"/>
          <w:strike w:val="0"/>
          <w:kern w:val="0"/>
          <w:sz w:val="32"/>
          <w:szCs w:val="32"/>
          <w:lang w:val="en-US" w:eastAsia="zh-CN"/>
        </w:rPr>
        <w:t>报送这些基金账户最终的账户资料及状态，每个基金账户一条记录，业务代码‘114’</w:t>
      </w:r>
      <w:r>
        <w:rPr>
          <w:rFonts w:hint="eastAsia" w:ascii="Times New Roman" w:eastAsia="仿宋" w:cs="宋体"/>
          <w:strike w:val="0"/>
          <w:kern w:val="0"/>
          <w:sz w:val="32"/>
          <w:szCs w:val="32"/>
          <w:lang w:val="en-US" w:eastAsia="zh-CN"/>
        </w:rPr>
        <w:t>。如一个基金账户因销售机构不同而存在多套基金账户资料的情况，应通过反洗钱信息进行报送。</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交易账户状态（新开、销户等）发生变化后，</w:t>
      </w:r>
      <w:r>
        <w:rPr>
          <w:rFonts w:hint="eastAsia" w:ascii="Times New Roman" w:eastAsia="仿宋" w:cs="宋体"/>
          <w:strike w:val="0"/>
          <w:kern w:val="0"/>
          <w:sz w:val="32"/>
          <w:szCs w:val="32"/>
          <w:lang w:val="en-US" w:eastAsia="zh-CN"/>
        </w:rPr>
        <w:t>需通过账户对账文件</w:t>
      </w:r>
      <w:r>
        <w:rPr>
          <w:rFonts w:hint="eastAsia" w:ascii="Times New Roman" w:hAnsi="Times New Roman" w:eastAsia="仿宋" w:cs="宋体"/>
          <w:strike w:val="0"/>
          <w:kern w:val="0"/>
          <w:sz w:val="32"/>
          <w:szCs w:val="32"/>
          <w:lang w:val="en-US" w:eastAsia="zh-CN"/>
        </w:rPr>
        <w:t>报送这些交易账户最终的状态（每个‘基金账户+销售人代码+网点号码+投资人交易账号’一条记录，业务代码‘115’）。</w:t>
      </w:r>
    </w:p>
    <w:p>
      <w:pPr>
        <w:pStyle w:val="3"/>
        <w:numPr>
          <w:ilvl w:val="0"/>
          <w:numId w:val="0"/>
        </w:numPr>
        <w:bidi w:val="0"/>
        <w:spacing w:before="100" w:line="240" w:lineRule="auto"/>
        <w:ind w:leftChars="0"/>
        <w:rPr>
          <w:rFonts w:hint="eastAsia" w:ascii="Times New Roman" w:hAnsi="宋体" w:eastAsia="楷体" w:cs="Times New Roman"/>
          <w:b w:val="0"/>
          <w:bCs w:val="0"/>
          <w:color w:val="4F81BD"/>
          <w:sz w:val="32"/>
          <w:szCs w:val="20"/>
          <w:lang w:val="en-US" w:eastAsia="zh-CN"/>
        </w:rPr>
      </w:pPr>
      <w:bookmarkStart w:id="243" w:name="_Toc17914"/>
      <w:bookmarkStart w:id="244" w:name="_Toc1997"/>
      <w:bookmarkStart w:id="245" w:name="_Toc27401"/>
      <w:bookmarkStart w:id="246" w:name="_Toc11572"/>
      <w:bookmarkStart w:id="247" w:name="_Toc21907"/>
      <w:bookmarkStart w:id="248" w:name="_Toc24477"/>
      <w:bookmarkStart w:id="249" w:name="_Toc5229"/>
      <w:bookmarkStart w:id="250" w:name="_Toc2209"/>
      <w:bookmarkStart w:id="251" w:name="_Toc47"/>
      <w:bookmarkStart w:id="252" w:name="_Toc6442"/>
      <w:bookmarkStart w:id="253" w:name="_Toc23001"/>
      <w:bookmarkStart w:id="254" w:name="_Toc27396"/>
      <w:bookmarkStart w:id="255" w:name="_Toc12984"/>
      <w:bookmarkStart w:id="256" w:name="_Toc21258"/>
      <w:bookmarkStart w:id="257" w:name="_Toc17471"/>
      <w:bookmarkStart w:id="258" w:name="_Toc22841"/>
      <w:bookmarkStart w:id="259" w:name="_Toc2171"/>
      <w:bookmarkStart w:id="260" w:name="_Toc31608"/>
      <w:bookmarkStart w:id="261" w:name="_Toc6562"/>
      <w:bookmarkStart w:id="262" w:name="_Toc723"/>
      <w:bookmarkStart w:id="263" w:name="_Toc13496"/>
      <w:bookmarkStart w:id="264" w:name="_Toc3643"/>
      <w:bookmarkStart w:id="265" w:name="_Toc6058"/>
      <w:bookmarkStart w:id="266" w:name="_Toc22351"/>
      <w:bookmarkStart w:id="267" w:name="_Toc15323"/>
      <w:r>
        <w:rPr>
          <w:rFonts w:hint="eastAsia" w:ascii="Times New Roman" w:hAnsi="宋体" w:eastAsia="楷体" w:cs="Times New Roman"/>
          <w:b w:val="0"/>
          <w:bCs w:val="0"/>
          <w:color w:val="4F81BD"/>
          <w:sz w:val="32"/>
          <w:szCs w:val="20"/>
          <w:lang w:val="en-US" w:eastAsia="zh-CN"/>
        </w:rPr>
        <w:t>（二）交易确认（94/Z4）</w:t>
      </w:r>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交易确认</w:t>
      </w:r>
      <w:r>
        <w:rPr>
          <w:rFonts w:hint="eastAsia" w:ascii="Times New Roman" w:eastAsia="仿宋" w:cs="宋体"/>
          <w:strike w:val="0"/>
          <w:kern w:val="0"/>
          <w:sz w:val="32"/>
          <w:szCs w:val="32"/>
          <w:lang w:val="en-US" w:eastAsia="zh-CN"/>
        </w:rPr>
        <w:t>94/Z4</w:t>
      </w:r>
      <w:r>
        <w:rPr>
          <w:rFonts w:hint="eastAsia" w:ascii="Times New Roman" w:hAnsi="Times New Roman" w:eastAsia="仿宋" w:cs="宋体"/>
          <w:strike w:val="0"/>
          <w:kern w:val="0"/>
          <w:sz w:val="32"/>
          <w:szCs w:val="32"/>
          <w:lang w:val="en-US" w:eastAsia="zh-CN"/>
        </w:rPr>
        <w:t>文件中，</w:t>
      </w:r>
      <w:r>
        <w:rPr>
          <w:rFonts w:hint="eastAsia" w:ascii="Times New Roman" w:hAnsi="Times New Roman" w:eastAsia="仿宋" w:cs="宋体"/>
          <w:b/>
          <w:bCs/>
          <w:strike w:val="0"/>
          <w:kern w:val="0"/>
          <w:sz w:val="32"/>
          <w:szCs w:val="32"/>
          <w:lang w:val="en-US" w:eastAsia="zh-CN"/>
        </w:rPr>
        <w:t>‘明细标志’为‘非明细’的记录必须报送，不报送‘明细标志’为‘明细’的记录。</w:t>
      </w:r>
      <w:r>
        <w:rPr>
          <w:rFonts w:hint="eastAsia" w:ascii="Times New Roman" w:hAnsi="Times New Roman" w:eastAsia="仿宋" w:cs="宋体"/>
          <w:strike w:val="0"/>
          <w:kern w:val="0"/>
          <w:sz w:val="32"/>
          <w:szCs w:val="32"/>
          <w:lang w:val="en-US" w:eastAsia="zh-CN"/>
        </w:rPr>
        <w:t>对部分业务说明如下：</w:t>
      </w:r>
    </w:p>
    <w:p>
      <w:pPr>
        <w:keepNext/>
        <w:keepLines/>
        <w:pageBreakBefore w:val="0"/>
        <w:widowControl w:val="0"/>
        <w:numPr>
          <w:ilvl w:val="0"/>
          <w:numId w:val="2"/>
        </w:numPr>
        <w:kinsoku/>
        <w:wordWrap/>
        <w:overflowPunct/>
        <w:topLinePunct w:val="0"/>
        <w:autoSpaceDE/>
        <w:autoSpaceDN/>
        <w:bidi w:val="0"/>
        <w:adjustRightInd/>
        <w:snapToGrid/>
        <w:ind w:left="425" w:hanging="425"/>
        <w:textAlignment w:val="auto"/>
        <w:outlineLvl w:val="9"/>
        <w:rPr>
          <w:rFonts w:hint="eastAsia" w:ascii="Times New Roman" w:hAnsi="Times New Roman" w:eastAsia="仿宋"/>
          <w:b/>
          <w:bCs/>
          <w:color w:val="auto"/>
          <w:sz w:val="32"/>
        </w:rPr>
      </w:pPr>
      <w:bookmarkStart w:id="268" w:name="_Toc13153"/>
      <w:bookmarkStart w:id="269" w:name="_Toc7923"/>
      <w:bookmarkStart w:id="270" w:name="_Toc2661"/>
      <w:bookmarkStart w:id="271" w:name="_Toc27610"/>
      <w:r>
        <w:rPr>
          <w:rFonts w:hint="eastAsia" w:ascii="Times New Roman" w:hAnsi="Times New Roman" w:eastAsia="仿宋"/>
          <w:b/>
          <w:bCs/>
          <w:color w:val="auto"/>
          <w:sz w:val="32"/>
          <w:lang w:val="en-US" w:eastAsia="zh-CN"/>
        </w:rPr>
        <w:t>基金转换</w:t>
      </w:r>
      <w:bookmarkEnd w:id="268"/>
      <w:bookmarkEnd w:id="269"/>
      <w:bookmarkEnd w:id="270"/>
      <w:bookmarkEnd w:id="271"/>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若为同一TA不同基金之间的转换，需拆分为三笔业务（分别为136/137/138）报送</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且三笔业务的申请单编号</w:t>
      </w:r>
      <w:r>
        <w:rPr>
          <w:rFonts w:hint="eastAsia" w:ascii="Times New Roman" w:eastAsia="仿宋" w:cs="宋体"/>
          <w:strike w:val="0"/>
          <w:kern w:val="0"/>
          <w:sz w:val="32"/>
          <w:szCs w:val="32"/>
          <w:lang w:val="en-US" w:eastAsia="zh-CN"/>
        </w:rPr>
        <w:t>、TA确认流水号</w:t>
      </w:r>
      <w:r>
        <w:rPr>
          <w:rFonts w:hint="eastAsia" w:ascii="Times New Roman" w:hAnsi="Times New Roman" w:eastAsia="仿宋" w:cs="宋体"/>
          <w:strike w:val="0"/>
          <w:kern w:val="0"/>
          <w:sz w:val="32"/>
          <w:szCs w:val="32"/>
          <w:lang w:val="en-US" w:eastAsia="zh-CN"/>
        </w:rPr>
        <w:t>应相同；</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若为不同TA的基金之间的转换，业务代码应根据TA为转出方或转入方分别填写‘138’（基金转换出）或‘137’（基金转换入），转出方TA和转入方TA各自报送一笔；</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对销售机构为方便投资者设置的“超级转换”（实际上两只基金并无转换关系），不应报送‘136’，需按照一笔申购业务、一笔赎回业务进行报送。</w:t>
      </w:r>
    </w:p>
    <w:p>
      <w:pPr>
        <w:keepNext/>
        <w:keepLines/>
        <w:pageBreakBefore w:val="0"/>
        <w:widowControl w:val="0"/>
        <w:numPr>
          <w:ilvl w:val="0"/>
          <w:numId w:val="2"/>
        </w:numPr>
        <w:kinsoku/>
        <w:wordWrap/>
        <w:overflowPunct/>
        <w:topLinePunct w:val="0"/>
        <w:autoSpaceDE/>
        <w:autoSpaceDN/>
        <w:bidi w:val="0"/>
        <w:adjustRightInd/>
        <w:snapToGrid/>
        <w:ind w:left="425" w:hanging="425"/>
        <w:textAlignment w:val="auto"/>
        <w:outlineLvl w:val="9"/>
        <w:rPr>
          <w:rFonts w:hint="eastAsia" w:ascii="Times New Roman" w:hAnsi="Times New Roman" w:eastAsia="仿宋"/>
          <w:b/>
          <w:bCs/>
          <w:color w:val="auto"/>
          <w:sz w:val="32"/>
          <w:lang w:val="en-US" w:eastAsia="zh-CN"/>
        </w:rPr>
      </w:pPr>
      <w:bookmarkStart w:id="272" w:name="_Toc30597"/>
      <w:bookmarkStart w:id="273" w:name="_Toc20964"/>
      <w:bookmarkStart w:id="274" w:name="_Toc32158"/>
      <w:bookmarkStart w:id="275" w:name="_Toc25695"/>
      <w:r>
        <w:rPr>
          <w:rFonts w:hint="eastAsia" w:ascii="Times New Roman" w:hAnsi="Times New Roman" w:eastAsia="仿宋"/>
          <w:b/>
          <w:bCs/>
          <w:color w:val="auto"/>
          <w:sz w:val="32"/>
          <w:lang w:val="en-US" w:eastAsia="zh-CN"/>
        </w:rPr>
        <w:t>非交易过户</w:t>
      </w:r>
      <w:bookmarkEnd w:id="272"/>
      <w:bookmarkEnd w:id="273"/>
      <w:bookmarkEnd w:id="274"/>
      <w:bookmarkEnd w:id="275"/>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无论一步还是两步完成，TA应在整个非交易过户业务完成后再报送。对业务未完成的，视为业务尚未发生，即对账95文件中份额持有保持不变。</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非交易过户业务报送时，仅需报送一笔非交易过户（包含份额转让业务）133业务，不报送非交易过户出135业务、非交易过户入134业务。</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快速过户业务报送时，仅需报送一笔快速过户198业务</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不报送快速过户入197业务、快速过户出196业务。（注意：若由198业务引发赎回业务，</w:t>
      </w:r>
      <w:r>
        <w:rPr>
          <w:rFonts w:hint="eastAsia" w:ascii="Times New Roman" w:eastAsia="仿宋" w:cs="宋体"/>
          <w:strike w:val="0"/>
          <w:kern w:val="0"/>
          <w:sz w:val="32"/>
          <w:szCs w:val="32"/>
          <w:lang w:val="en-US" w:eastAsia="zh-CN"/>
        </w:rPr>
        <w:t>须</w:t>
      </w:r>
      <w:r>
        <w:rPr>
          <w:rFonts w:hint="eastAsia" w:ascii="Times New Roman" w:hAnsi="Times New Roman" w:eastAsia="仿宋" w:cs="宋体"/>
          <w:strike w:val="0"/>
          <w:kern w:val="0"/>
          <w:sz w:val="32"/>
          <w:szCs w:val="32"/>
          <w:lang w:val="en-US" w:eastAsia="zh-CN"/>
        </w:rPr>
        <w:t>报送124</w:t>
      </w:r>
      <w:r>
        <w:rPr>
          <w:rFonts w:hint="eastAsia" w:ascii="Times New Roman" w:eastAsia="仿宋" w:cs="宋体"/>
          <w:strike w:val="0"/>
          <w:kern w:val="0"/>
          <w:sz w:val="32"/>
          <w:szCs w:val="32"/>
          <w:lang w:val="en-US" w:eastAsia="zh-CN"/>
        </w:rPr>
        <w:t>业务</w:t>
      </w:r>
      <w:r>
        <w:rPr>
          <w:rFonts w:hint="eastAsia" w:ascii="Times New Roman" w:hAnsi="Times New Roman" w:eastAsia="仿宋" w:cs="宋体"/>
          <w:strike w:val="0"/>
          <w:kern w:val="0"/>
          <w:sz w:val="32"/>
          <w:szCs w:val="32"/>
          <w:lang w:val="en-US" w:eastAsia="zh-CN"/>
        </w:rPr>
        <w:t>）</w:t>
      </w:r>
    </w:p>
    <w:p>
      <w:pPr>
        <w:keepNext/>
        <w:keepLines/>
        <w:pageBreakBefore w:val="0"/>
        <w:widowControl w:val="0"/>
        <w:numPr>
          <w:ilvl w:val="0"/>
          <w:numId w:val="2"/>
        </w:numPr>
        <w:kinsoku/>
        <w:wordWrap/>
        <w:overflowPunct/>
        <w:topLinePunct w:val="0"/>
        <w:autoSpaceDE/>
        <w:autoSpaceDN/>
        <w:bidi w:val="0"/>
        <w:adjustRightInd/>
        <w:snapToGrid/>
        <w:ind w:left="425" w:hanging="425"/>
        <w:textAlignment w:val="auto"/>
        <w:outlineLvl w:val="9"/>
        <w:rPr>
          <w:rFonts w:hint="eastAsia" w:ascii="Times New Roman" w:hAnsi="Times New Roman" w:eastAsia="仿宋"/>
          <w:b/>
          <w:bCs/>
          <w:color w:val="auto"/>
          <w:sz w:val="32"/>
          <w:lang w:val="en-US" w:eastAsia="zh-CN"/>
        </w:rPr>
      </w:pPr>
      <w:bookmarkStart w:id="276" w:name="_Toc32051"/>
      <w:bookmarkStart w:id="277" w:name="_Toc13383"/>
      <w:bookmarkStart w:id="278" w:name="_Toc5384"/>
      <w:bookmarkStart w:id="279" w:name="_Toc10839"/>
      <w:r>
        <w:rPr>
          <w:rFonts w:hint="eastAsia" w:ascii="Times New Roman" w:hAnsi="Times New Roman" w:eastAsia="仿宋"/>
          <w:b/>
          <w:bCs/>
          <w:color w:val="auto"/>
          <w:sz w:val="32"/>
          <w:lang w:val="en-US" w:eastAsia="zh-CN"/>
        </w:rPr>
        <w:t>转托管</w:t>
      </w:r>
      <w:bookmarkEnd w:id="276"/>
      <w:bookmarkEnd w:id="277"/>
      <w:bookmarkEnd w:id="278"/>
      <w:bookmarkEnd w:id="279"/>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转托管业务报送时，需拆成三笔业务（分别为126/127/128）进行报送，三笔业务的申请单编号</w:t>
      </w:r>
      <w:r>
        <w:rPr>
          <w:rFonts w:hint="eastAsia" w:ascii="Times New Roman" w:eastAsia="仿宋" w:cs="宋体"/>
          <w:strike w:val="0"/>
          <w:kern w:val="0"/>
          <w:sz w:val="32"/>
          <w:szCs w:val="32"/>
          <w:lang w:val="en-US" w:eastAsia="zh-CN"/>
        </w:rPr>
        <w:t>、TA确认流水号</w:t>
      </w:r>
      <w:r>
        <w:rPr>
          <w:rFonts w:hint="eastAsia" w:ascii="Times New Roman" w:hAnsi="Times New Roman" w:eastAsia="仿宋" w:cs="宋体"/>
          <w:strike w:val="0"/>
          <w:kern w:val="0"/>
          <w:sz w:val="32"/>
          <w:szCs w:val="32"/>
          <w:lang w:val="en-US" w:eastAsia="zh-CN"/>
        </w:rPr>
        <w:t>应相同。</w:t>
      </w:r>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对于两步转托管业务（转入和转出不在同一交易日），分别在转托管出、转托管入业务发生时报送相关业务</w:t>
      </w:r>
      <w:r>
        <w:rPr>
          <w:rFonts w:hint="eastAsia" w:ascii="Times New Roman" w:eastAsia="仿宋" w:cs="宋体"/>
          <w:strike w:val="0"/>
          <w:kern w:val="0"/>
          <w:sz w:val="32"/>
          <w:szCs w:val="32"/>
          <w:lang w:val="en-US" w:eastAsia="zh-CN"/>
        </w:rPr>
        <w:t>：</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第一步转托管出</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报送一笔出方销售机构的转托管出和虚拟销售机构(销售人代码填写‘000’)的转托管入，需拆成三笔业务（分别为126/127/128）进行报送；</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第二</w:t>
      </w:r>
      <w:r>
        <w:rPr>
          <w:rFonts w:hint="eastAsia" w:ascii="Times New Roman" w:eastAsia="仿宋" w:cs="宋体"/>
          <w:strike w:val="0"/>
          <w:kern w:val="0"/>
          <w:sz w:val="32"/>
          <w:szCs w:val="32"/>
          <w:lang w:val="en-US" w:eastAsia="zh-CN"/>
        </w:rPr>
        <w:t>步</w:t>
      </w:r>
      <w:r>
        <w:rPr>
          <w:rFonts w:hint="eastAsia" w:ascii="Times New Roman" w:hAnsi="Times New Roman" w:eastAsia="仿宋" w:cs="宋体"/>
          <w:strike w:val="0"/>
          <w:kern w:val="0"/>
          <w:sz w:val="32"/>
          <w:szCs w:val="32"/>
          <w:lang w:val="en-US" w:eastAsia="zh-CN"/>
        </w:rPr>
        <w:t>转托管入</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报送一笔虚拟销售机构(销售人代码填写‘000’)的转托管出和入方销售机构的转托管入，亦需拆成三笔业务（分别为126/127/128）进行报送。对于第二笔转托管入，原申请单编号报送为第一笔转托管出的申请单号。</w:t>
      </w:r>
    </w:p>
    <w:p>
      <w:pPr>
        <w:keepNext/>
        <w:keepLines/>
        <w:pageBreakBefore w:val="0"/>
        <w:widowControl w:val="0"/>
        <w:numPr>
          <w:ilvl w:val="0"/>
          <w:numId w:val="2"/>
        </w:numPr>
        <w:kinsoku/>
        <w:wordWrap/>
        <w:overflowPunct/>
        <w:topLinePunct w:val="0"/>
        <w:autoSpaceDE/>
        <w:autoSpaceDN/>
        <w:bidi w:val="0"/>
        <w:adjustRightInd/>
        <w:snapToGrid/>
        <w:ind w:left="425" w:hanging="425"/>
        <w:textAlignment w:val="auto"/>
        <w:outlineLvl w:val="9"/>
        <w:rPr>
          <w:rFonts w:hint="default" w:ascii="Times New Roman" w:hAnsi="Times New Roman" w:eastAsia="仿宋"/>
          <w:b/>
          <w:bCs/>
          <w:color w:val="auto"/>
          <w:sz w:val="32"/>
          <w:lang w:val="en-US" w:eastAsia="zh-CN"/>
        </w:rPr>
      </w:pPr>
      <w:bookmarkStart w:id="280" w:name="_Toc13640"/>
      <w:bookmarkStart w:id="281" w:name="_Toc22736"/>
      <w:bookmarkStart w:id="282" w:name="_Toc10243"/>
      <w:bookmarkStart w:id="283" w:name="_Toc28702"/>
      <w:r>
        <w:rPr>
          <w:rFonts w:hint="eastAsia" w:ascii="Times New Roman" w:hAnsi="Times New Roman" w:eastAsia="仿宋"/>
          <w:b/>
          <w:bCs/>
          <w:color w:val="auto"/>
          <w:sz w:val="32"/>
          <w:lang w:val="en-US" w:eastAsia="zh-CN"/>
        </w:rPr>
        <w:t>货币基金结转收益</w:t>
      </w:r>
      <w:bookmarkEnd w:id="280"/>
      <w:bookmarkEnd w:id="281"/>
      <w:bookmarkEnd w:id="282"/>
      <w:bookmarkEnd w:id="283"/>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对于</w:t>
      </w:r>
      <w:r>
        <w:rPr>
          <w:rFonts w:hint="eastAsia" w:ascii="Times New Roman" w:hAnsi="Times New Roman" w:eastAsia="仿宋" w:cs="宋体"/>
          <w:strike w:val="0"/>
          <w:kern w:val="0"/>
          <w:sz w:val="32"/>
          <w:szCs w:val="32"/>
          <w:lang w:val="en-US" w:eastAsia="zh-CN"/>
        </w:rPr>
        <w:t>投资者货币基金收益结转</w:t>
      </w:r>
      <w:r>
        <w:rPr>
          <w:rFonts w:hint="eastAsia" w:ascii="Times New Roman" w:eastAsia="仿宋" w:cs="宋体"/>
          <w:strike w:val="0"/>
          <w:kern w:val="0"/>
          <w:sz w:val="32"/>
          <w:szCs w:val="32"/>
          <w:lang w:val="en-US" w:eastAsia="zh-CN"/>
        </w:rPr>
        <w:t>业务：</w:t>
      </w:r>
    </w:p>
    <w:p>
      <w:pPr>
        <w:widowControl/>
        <w:numPr>
          <w:ilvl w:val="-1"/>
          <w:numId w:val="0"/>
        </w:numPr>
        <w:spacing w:line="560" w:lineRule="exact"/>
        <w:ind w:left="0" w:firstLine="640" w:firstLineChars="200"/>
        <w:jc w:val="left"/>
        <w:rPr>
          <w:rFonts w:hint="eastAsia" w:ascii="Times New Roman" w:eastAsia="仿宋" w:cs="宋体"/>
          <w:kern w:val="0"/>
          <w:sz w:val="32"/>
          <w:szCs w:val="32"/>
        </w:rPr>
      </w:pPr>
      <w:r>
        <w:rPr>
          <w:rFonts w:hint="eastAsia" w:ascii="Times New Roman" w:eastAsia="仿宋" w:cs="宋体"/>
          <w:strike w:val="0"/>
          <w:kern w:val="0"/>
          <w:sz w:val="32"/>
          <w:szCs w:val="32"/>
          <w:lang w:val="en-US" w:eastAsia="zh-CN"/>
        </w:rPr>
        <w:t>如</w:t>
      </w:r>
      <w:r>
        <w:rPr>
          <w:rFonts w:hint="eastAsia" w:ascii="Times New Roman" w:hAnsi="Times New Roman" w:eastAsia="仿宋" w:cs="宋体"/>
          <w:strike w:val="0"/>
          <w:kern w:val="0"/>
          <w:sz w:val="32"/>
          <w:szCs w:val="32"/>
          <w:lang w:val="en-US" w:eastAsia="zh-CN"/>
        </w:rPr>
        <w:t>货币基金收益</w:t>
      </w:r>
      <w:r>
        <w:rPr>
          <w:rFonts w:hint="eastAsia" w:ascii="Times New Roman" w:eastAsia="仿宋" w:cs="宋体"/>
          <w:strike w:val="0"/>
          <w:kern w:val="0"/>
          <w:sz w:val="32"/>
          <w:szCs w:val="32"/>
          <w:lang w:val="en-US" w:eastAsia="zh-CN"/>
        </w:rPr>
        <w:t>按份额</w:t>
      </w:r>
      <w:r>
        <w:rPr>
          <w:rFonts w:hint="eastAsia" w:ascii="Times New Roman" w:hAnsi="Times New Roman" w:eastAsia="仿宋" w:cs="宋体"/>
          <w:strike w:val="0"/>
          <w:kern w:val="0"/>
          <w:sz w:val="32"/>
          <w:szCs w:val="32"/>
          <w:lang w:val="en-US" w:eastAsia="zh-CN"/>
        </w:rPr>
        <w:t>结转，</w:t>
      </w:r>
      <w:r>
        <w:rPr>
          <w:rFonts w:hint="eastAsia" w:ascii="Times New Roman" w:eastAsia="仿宋" w:cs="宋体"/>
          <w:strike w:val="0"/>
          <w:kern w:val="0"/>
          <w:sz w:val="32"/>
          <w:szCs w:val="32"/>
          <w:lang w:val="en-US" w:eastAsia="zh-CN"/>
        </w:rPr>
        <w:t>须</w:t>
      </w:r>
      <w:r>
        <w:rPr>
          <w:rFonts w:hint="eastAsia" w:ascii="Times New Roman" w:hAnsi="Times New Roman" w:eastAsia="仿宋" w:cs="宋体"/>
          <w:strike w:val="0"/>
          <w:kern w:val="0"/>
          <w:sz w:val="32"/>
          <w:szCs w:val="32"/>
          <w:lang w:val="en-US" w:eastAsia="zh-CN"/>
        </w:rPr>
        <w:t>在94文件中以“144-强增”、“145-强减”业务进行报送</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“份额强制调整标志”填写“4-货币基金收益结转”</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不允许在96分红文件中以‘143分红’业务进行报送</w:t>
      </w:r>
      <w:r>
        <w:rPr>
          <w:rFonts w:hint="eastAsia" w:ascii="Times New Roman" w:eastAsia="仿宋" w:cs="宋体"/>
          <w:kern w:val="0"/>
          <w:sz w:val="32"/>
          <w:szCs w:val="32"/>
        </w:rPr>
        <w:t>。</w:t>
      </w:r>
    </w:p>
    <w:p>
      <w:pPr>
        <w:widowControl/>
        <w:numPr>
          <w:ilvl w:val="-1"/>
          <w:numId w:val="0"/>
        </w:numPr>
        <w:spacing w:line="560" w:lineRule="exact"/>
        <w:ind w:left="0" w:firstLine="640" w:firstLineChars="200"/>
        <w:jc w:val="left"/>
        <w:rPr>
          <w:rFonts w:hint="eastAsia" w:ascii="Times New Roman" w:eastAsia="仿宋" w:cs="宋体"/>
          <w:kern w:val="0"/>
          <w:sz w:val="32"/>
          <w:szCs w:val="32"/>
        </w:rPr>
      </w:pPr>
      <w:r>
        <w:rPr>
          <w:rFonts w:hint="eastAsia" w:ascii="Times New Roman" w:eastAsia="仿宋" w:cs="宋体"/>
          <w:strike w:val="0"/>
          <w:kern w:val="0"/>
          <w:sz w:val="32"/>
          <w:szCs w:val="32"/>
          <w:lang w:val="en-US" w:eastAsia="zh-CN"/>
        </w:rPr>
        <w:t>如</w:t>
      </w:r>
      <w:r>
        <w:rPr>
          <w:rFonts w:hint="eastAsia" w:ascii="Times New Roman" w:hAnsi="Times New Roman" w:eastAsia="仿宋" w:cs="宋体"/>
          <w:strike w:val="0"/>
          <w:kern w:val="0"/>
          <w:sz w:val="32"/>
          <w:szCs w:val="32"/>
          <w:lang w:val="en-US" w:eastAsia="zh-CN"/>
        </w:rPr>
        <w:t>货币基金收益</w:t>
      </w:r>
      <w:r>
        <w:rPr>
          <w:rFonts w:hint="eastAsia" w:ascii="Times New Roman" w:eastAsia="仿宋" w:cs="宋体"/>
          <w:strike w:val="0"/>
          <w:kern w:val="0"/>
          <w:sz w:val="32"/>
          <w:szCs w:val="32"/>
          <w:lang w:val="en-US" w:eastAsia="zh-CN"/>
        </w:rPr>
        <w:t>以现金方式下发</w:t>
      </w:r>
      <w:r>
        <w:rPr>
          <w:rFonts w:hint="eastAsia" w:ascii="Times New Roman" w:hAnsi="Times New Roman" w:eastAsia="仿宋" w:cs="宋体"/>
          <w:strike w:val="0"/>
          <w:kern w:val="0"/>
          <w:sz w:val="32"/>
          <w:szCs w:val="32"/>
          <w:lang w:val="en-US" w:eastAsia="zh-CN"/>
        </w:rPr>
        <w:t>，</w:t>
      </w:r>
      <w:r>
        <w:rPr>
          <w:rFonts w:hint="eastAsia" w:ascii="Times New Roman" w:eastAsia="仿宋" w:cs="宋体"/>
          <w:strike w:val="0"/>
          <w:kern w:val="0"/>
          <w:sz w:val="32"/>
          <w:szCs w:val="32"/>
          <w:lang w:val="en-US" w:eastAsia="zh-CN"/>
        </w:rPr>
        <w:t>须</w:t>
      </w:r>
      <w:r>
        <w:rPr>
          <w:rFonts w:hint="eastAsia" w:ascii="Times New Roman" w:hAnsi="Times New Roman" w:eastAsia="仿宋" w:cs="宋体"/>
          <w:strike w:val="0"/>
          <w:kern w:val="0"/>
          <w:sz w:val="32"/>
          <w:szCs w:val="32"/>
          <w:lang w:val="en-US" w:eastAsia="zh-CN"/>
        </w:rPr>
        <w:t>在96分红文件中以‘143分红’业务进行报送</w:t>
      </w:r>
      <w:r>
        <w:rPr>
          <w:rFonts w:hint="eastAsia" w:ascii="Times New Roman" w:eastAsia="仿宋" w:cs="宋体"/>
          <w:strike w:val="0"/>
          <w:kern w:val="0"/>
          <w:sz w:val="32"/>
          <w:szCs w:val="32"/>
          <w:lang w:val="en-US" w:eastAsia="zh-CN"/>
        </w:rPr>
        <w:t>，“分红类型”填写“</w:t>
      </w:r>
      <w:r>
        <w:rPr>
          <w:rFonts w:hint="eastAsia" w:ascii="Times New Roman" w:hAnsi="Times New Roman" w:eastAsia="仿宋" w:cs="宋体"/>
          <w:kern w:val="0"/>
          <w:sz w:val="32"/>
          <w:szCs w:val="32"/>
        </w:rPr>
        <w:t>2-货币基金收益结转</w:t>
      </w:r>
      <w:r>
        <w:rPr>
          <w:rFonts w:hint="eastAsia" w:ascii="Times New Roman" w:eastAsia="仿宋" w:cs="宋体"/>
          <w:strike w:val="0"/>
          <w:kern w:val="0"/>
          <w:sz w:val="32"/>
          <w:szCs w:val="32"/>
          <w:lang w:val="en-US" w:eastAsia="zh-CN"/>
        </w:rPr>
        <w:t>”。</w:t>
      </w:r>
    </w:p>
    <w:p>
      <w:pPr>
        <w:keepNext/>
        <w:keepLines/>
        <w:pageBreakBefore w:val="0"/>
        <w:widowControl w:val="0"/>
        <w:numPr>
          <w:ilvl w:val="0"/>
          <w:numId w:val="2"/>
        </w:numPr>
        <w:kinsoku/>
        <w:wordWrap/>
        <w:overflowPunct/>
        <w:topLinePunct w:val="0"/>
        <w:autoSpaceDE/>
        <w:autoSpaceDN/>
        <w:bidi w:val="0"/>
        <w:adjustRightInd/>
        <w:snapToGrid/>
        <w:ind w:left="425" w:hanging="425"/>
        <w:textAlignment w:val="auto"/>
        <w:outlineLvl w:val="9"/>
        <w:rPr>
          <w:rFonts w:hint="default" w:ascii="Times New Roman" w:hAnsi="Times New Roman" w:eastAsia="仿宋"/>
          <w:b/>
          <w:bCs/>
          <w:color w:val="auto"/>
          <w:sz w:val="32"/>
          <w:lang w:val="en-US" w:eastAsia="zh-CN"/>
        </w:rPr>
      </w:pPr>
      <w:bookmarkStart w:id="284" w:name="_Toc29207"/>
      <w:bookmarkStart w:id="285" w:name="_Toc13284"/>
      <w:bookmarkStart w:id="286" w:name="_Toc28554"/>
      <w:bookmarkStart w:id="287" w:name="_Toc28914"/>
      <w:r>
        <w:rPr>
          <w:rFonts w:hint="eastAsia" w:ascii="Times New Roman" w:hAnsi="Times New Roman" w:eastAsia="仿宋"/>
          <w:b/>
          <w:bCs/>
          <w:color w:val="auto"/>
          <w:sz w:val="32"/>
          <w:lang w:val="en-US" w:eastAsia="zh-CN"/>
        </w:rPr>
        <w:t>非标准业务</w:t>
      </w:r>
      <w:bookmarkEnd w:id="284"/>
      <w:bookmarkEnd w:id="285"/>
      <w:bookmarkEnd w:id="286"/>
      <w:bookmarkEnd w:id="287"/>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如TA系统中有自定义的非标准业务，应转成接口中约定的</w:t>
      </w:r>
      <w:r>
        <w:rPr>
          <w:rFonts w:hint="eastAsia" w:ascii="Times New Roman" w:eastAsia="仿宋" w:cs="宋体"/>
          <w:strike w:val="0"/>
          <w:kern w:val="0"/>
          <w:sz w:val="32"/>
          <w:szCs w:val="32"/>
          <w:lang w:val="en-US" w:eastAsia="zh-CN"/>
        </w:rPr>
        <w:t>相近的标准</w:t>
      </w:r>
      <w:r>
        <w:rPr>
          <w:rFonts w:hint="eastAsia" w:ascii="Times New Roman" w:hAnsi="Times New Roman" w:eastAsia="仿宋" w:cs="宋体"/>
          <w:strike w:val="0"/>
          <w:kern w:val="0"/>
          <w:sz w:val="32"/>
          <w:szCs w:val="32"/>
          <w:lang w:val="en-US" w:eastAsia="zh-CN"/>
        </w:rPr>
        <w:t>业务类型报送给中数平台，以确保数据内容检查通过。</w:t>
      </w:r>
    </w:p>
    <w:p>
      <w:pPr>
        <w:pStyle w:val="3"/>
        <w:numPr>
          <w:ilvl w:val="0"/>
          <w:numId w:val="0"/>
        </w:numPr>
        <w:bidi w:val="0"/>
        <w:spacing w:before="100" w:line="240" w:lineRule="auto"/>
        <w:ind w:leftChars="0"/>
        <w:rPr>
          <w:rFonts w:hint="eastAsia" w:ascii="Times New Roman" w:hAnsi="宋体" w:eastAsia="楷体" w:cs="Times New Roman"/>
          <w:b w:val="0"/>
          <w:bCs w:val="0"/>
          <w:color w:val="4F81BD"/>
          <w:sz w:val="32"/>
          <w:szCs w:val="20"/>
          <w:lang w:val="en-US" w:eastAsia="zh-CN"/>
        </w:rPr>
      </w:pPr>
      <w:bookmarkStart w:id="288" w:name="_Toc31978"/>
      <w:bookmarkStart w:id="289" w:name="_Toc32318"/>
      <w:bookmarkStart w:id="290" w:name="_Toc295"/>
      <w:bookmarkStart w:id="291" w:name="_Toc21101"/>
      <w:bookmarkStart w:id="292" w:name="_Toc15247"/>
      <w:bookmarkStart w:id="293" w:name="_Toc18138"/>
      <w:bookmarkStart w:id="294" w:name="_Toc3297"/>
      <w:bookmarkStart w:id="295" w:name="_Toc22807"/>
      <w:bookmarkStart w:id="296" w:name="_Toc12728"/>
      <w:bookmarkStart w:id="297" w:name="_Toc26894"/>
      <w:bookmarkStart w:id="298" w:name="_Toc17070"/>
      <w:bookmarkStart w:id="299" w:name="_Toc13909"/>
      <w:bookmarkStart w:id="300" w:name="_Toc3373"/>
      <w:bookmarkStart w:id="301" w:name="_Toc10269"/>
      <w:bookmarkStart w:id="302" w:name="_Toc20358"/>
      <w:bookmarkStart w:id="303" w:name="_Toc7360"/>
      <w:bookmarkStart w:id="304" w:name="_Toc1275"/>
      <w:bookmarkStart w:id="305" w:name="_Toc9886"/>
      <w:bookmarkStart w:id="306" w:name="_Toc22826"/>
      <w:bookmarkStart w:id="307" w:name="_Toc5892"/>
      <w:bookmarkStart w:id="308" w:name="_Toc11198"/>
      <w:bookmarkStart w:id="309" w:name="_Toc17535"/>
      <w:bookmarkStart w:id="310" w:name="_Toc6180"/>
      <w:bookmarkStart w:id="311" w:name="_Toc135"/>
      <w:bookmarkStart w:id="312" w:name="_Toc17135"/>
      <w:r>
        <w:rPr>
          <w:rFonts w:hint="eastAsia" w:ascii="Times New Roman" w:hAnsi="宋体" w:eastAsia="楷体" w:cs="Times New Roman"/>
          <w:b w:val="0"/>
          <w:bCs w:val="0"/>
          <w:color w:val="4F81BD"/>
          <w:sz w:val="32"/>
          <w:szCs w:val="20"/>
          <w:lang w:val="en-US" w:eastAsia="zh-CN"/>
        </w:rPr>
        <w:t>（三）份额对账（95/Z5/Q5/S5）</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增量份额对账时，需要特别注意：若投资者上日份额不为零但当日清零（包括因变更交易账号导致的原交易账号份额清零），也需报送。由于网点号码变更导致份额转移到新的网点号码，应报送两条记录，原网点号码下份额为零的记录、以及新网点号码下的份额记录。</w:t>
      </w:r>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无论增量、全量份额对账报送，‘明细标志’为‘0-按基金汇总’、‘1-按投资者汇总’、‘3-按（基金+销售机构）汇总’的记录要求必须报送。‘明细标志’为‘2-按投资者明细’的记录不报送。</w:t>
      </w:r>
    </w:p>
    <w:p>
      <w:pPr>
        <w:widowControl/>
        <w:autoSpaceDE/>
        <w:autoSpaceDN/>
        <w:adjustRightInd/>
        <w:spacing w:line="560" w:lineRule="exact"/>
        <w:ind w:firstLine="640" w:firstLineChars="200"/>
        <w:jc w:val="left"/>
        <w:rPr>
          <w:rFonts w:hint="default"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‘0-按基金汇总’指按基金代码、收费类别汇总的数据（此方式下销售人代码、网点号码、基金账号、交易账号不填）。无论增量或全量，每基金代码、收费类别都应有一条记录。</w:t>
      </w:r>
    </w:p>
    <w:p>
      <w:pPr>
        <w:widowControl/>
        <w:autoSpaceDE/>
        <w:autoSpaceDN/>
        <w:adjustRightInd/>
        <w:spacing w:line="560" w:lineRule="exact"/>
        <w:ind w:firstLine="640" w:firstLineChars="200"/>
        <w:jc w:val="left"/>
        <w:rPr>
          <w:rFonts w:hint="eastAsia" w:asci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1-按投资者汇总’指按投资者汇总（按登记六要素即基金账号、交易账号、基金代码、收费类别、销售人代码、网点号码）对账。全量份额对账时，应包含所有曾持有份额的基金账户，包括当前份额已清零的基金账户。</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3-按（基金+销售机构）汇总’指按基金代码、收费类别、销售机构汇总的数据（此方式下网点号码、基金账号、交易账号不填）。每基金代码、收费类别、销售人代码都应有一条记录（该记录若份额为零也要报），‘基金总份数’、‘持有人可用基金份数’、‘基金冻结总份数’指该（基金代码+收费类别+销售人代码）的总份数、可用份数、冻结份数。</w:t>
      </w:r>
    </w:p>
    <w:p>
      <w:pPr>
        <w:pStyle w:val="3"/>
        <w:numPr>
          <w:ilvl w:val="0"/>
          <w:numId w:val="0"/>
        </w:numPr>
        <w:bidi w:val="0"/>
        <w:spacing w:before="100" w:line="240" w:lineRule="auto"/>
        <w:ind w:leftChars="0" w:firstLine="0"/>
        <w:rPr>
          <w:rFonts w:hint="eastAsia" w:ascii="Times New Roman" w:hAnsi="宋体" w:eastAsia="楷体" w:cs="Times New Roman"/>
          <w:b w:val="0"/>
          <w:bCs w:val="0"/>
          <w:color w:val="4F81BD"/>
          <w:sz w:val="32"/>
          <w:szCs w:val="20"/>
          <w:lang w:val="en-US" w:eastAsia="zh-CN"/>
        </w:rPr>
      </w:pPr>
      <w:bookmarkStart w:id="313" w:name="_Toc25025"/>
      <w:bookmarkStart w:id="314" w:name="_Toc27251"/>
      <w:bookmarkStart w:id="315" w:name="_Toc840"/>
      <w:bookmarkStart w:id="316" w:name="_Toc23504"/>
      <w:bookmarkStart w:id="317" w:name="_Toc15628"/>
      <w:bookmarkStart w:id="318" w:name="_Toc24490"/>
      <w:bookmarkStart w:id="319" w:name="_Toc25492"/>
      <w:bookmarkStart w:id="320" w:name="_Toc21571"/>
      <w:bookmarkStart w:id="321" w:name="_Toc31880"/>
      <w:bookmarkStart w:id="322" w:name="_Toc15774"/>
      <w:bookmarkStart w:id="323" w:name="_Toc4149"/>
      <w:bookmarkStart w:id="324" w:name="_Toc22228"/>
      <w:bookmarkStart w:id="325" w:name="_Toc13065"/>
      <w:bookmarkStart w:id="326" w:name="_Toc7587"/>
      <w:bookmarkStart w:id="327" w:name="_Toc4030"/>
      <w:bookmarkStart w:id="328" w:name="_Toc410"/>
      <w:bookmarkStart w:id="329" w:name="_Toc10352"/>
      <w:bookmarkStart w:id="330" w:name="_Toc11245"/>
      <w:bookmarkStart w:id="331" w:name="_Toc28142"/>
      <w:bookmarkStart w:id="332" w:name="_Toc4682"/>
      <w:bookmarkStart w:id="333" w:name="_Toc30637"/>
      <w:bookmarkStart w:id="334" w:name="_Toc27325"/>
      <w:bookmarkStart w:id="335" w:name="_Toc23272"/>
      <w:bookmarkStart w:id="336" w:name="_Toc2929"/>
      <w:bookmarkStart w:id="337" w:name="_Toc22573"/>
      <w:r>
        <w:rPr>
          <w:rFonts w:hint="eastAsia" w:ascii="Times New Roman" w:hAnsi="宋体" w:eastAsia="楷体" w:cs="Times New Roman"/>
          <w:b w:val="0"/>
          <w:bCs w:val="0"/>
          <w:color w:val="4F81BD"/>
          <w:sz w:val="32"/>
          <w:szCs w:val="20"/>
          <w:lang w:val="en-US" w:eastAsia="zh-CN"/>
        </w:rPr>
        <w:t>（四）基金TA参数（T1/TM）</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T1</w:t>
      </w:r>
      <w:r>
        <w:rPr>
          <w:rFonts w:hint="eastAsia" w:ascii="Times New Roman" w:eastAsia="仿宋" w:cs="宋体"/>
          <w:strike w:val="0"/>
          <w:kern w:val="0"/>
          <w:sz w:val="32"/>
          <w:szCs w:val="32"/>
          <w:lang w:val="en-US" w:eastAsia="zh-CN"/>
        </w:rPr>
        <w:t>/TM</w:t>
      </w:r>
      <w:r>
        <w:rPr>
          <w:rFonts w:hint="eastAsia" w:ascii="Times New Roman" w:hAnsi="Times New Roman" w:eastAsia="仿宋" w:cs="宋体"/>
          <w:strike w:val="0"/>
          <w:kern w:val="0"/>
          <w:sz w:val="32"/>
          <w:szCs w:val="32"/>
          <w:lang w:val="en-US" w:eastAsia="zh-CN"/>
        </w:rPr>
        <w:t>文件</w:t>
      </w:r>
      <w:r>
        <w:rPr>
          <w:rFonts w:hint="eastAsia" w:ascii="Times New Roman" w:eastAsia="仿宋" w:cs="宋体"/>
          <w:strike w:val="0"/>
          <w:kern w:val="0"/>
          <w:sz w:val="32"/>
          <w:szCs w:val="32"/>
          <w:lang w:val="en-US" w:eastAsia="zh-CN"/>
        </w:rPr>
        <w:t>的报送</w:t>
      </w:r>
      <w:r>
        <w:rPr>
          <w:rFonts w:hint="eastAsia" w:ascii="Times New Roman" w:hAnsi="Times New Roman" w:eastAsia="仿宋" w:cs="宋体"/>
          <w:strike w:val="0"/>
          <w:kern w:val="0"/>
          <w:sz w:val="32"/>
          <w:szCs w:val="32"/>
          <w:lang w:val="en-US" w:eastAsia="zh-CN"/>
        </w:rPr>
        <w:t>应做到不重不漏，TA系统中实际登记的每个“基金代码+份额类别”</w:t>
      </w:r>
      <w:r>
        <w:rPr>
          <w:rFonts w:hint="eastAsia" w:ascii="Times New Roman" w:eastAsia="仿宋" w:cs="宋体"/>
          <w:strike w:val="0"/>
          <w:kern w:val="0"/>
          <w:sz w:val="32"/>
          <w:szCs w:val="32"/>
          <w:lang w:val="en-US" w:eastAsia="zh-CN"/>
        </w:rPr>
        <w:t>均应</w:t>
      </w:r>
      <w:r>
        <w:rPr>
          <w:rFonts w:hint="eastAsia" w:ascii="Times New Roman" w:hAnsi="Times New Roman" w:eastAsia="仿宋" w:cs="宋体"/>
          <w:strike w:val="0"/>
          <w:kern w:val="0"/>
          <w:sz w:val="32"/>
          <w:szCs w:val="32"/>
          <w:lang w:val="en-US" w:eastAsia="zh-CN"/>
        </w:rPr>
        <w:t>报送一条文件记录，确保备份数据中所有业务均能根据“基金代码+份额类别”找到对应的文件记录。</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T1</w:t>
      </w:r>
      <w:r>
        <w:rPr>
          <w:rFonts w:hint="eastAsia" w:ascii="Times New Roman" w:eastAsia="仿宋" w:cs="宋体"/>
          <w:strike w:val="0"/>
          <w:kern w:val="0"/>
          <w:sz w:val="32"/>
          <w:szCs w:val="32"/>
          <w:lang w:val="en-US" w:eastAsia="zh-CN"/>
        </w:rPr>
        <w:t>/TM</w:t>
      </w:r>
      <w:r>
        <w:rPr>
          <w:rFonts w:hint="eastAsia" w:ascii="Times New Roman" w:hAnsi="Times New Roman" w:eastAsia="仿宋" w:cs="宋体"/>
          <w:strike w:val="0"/>
          <w:kern w:val="0"/>
          <w:sz w:val="32"/>
          <w:szCs w:val="32"/>
          <w:lang w:val="en-US" w:eastAsia="zh-CN"/>
        </w:rPr>
        <w:t>文件每日全量报送，对已清盘的基金代码亦需要报送，“基金状态2”填写“8-基金终止”</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募集期产品亦需要报送，自TA系统有该产品信息开始，如募集失败，募集失败及以后均需报送。</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若同一产品多个编码分别登记在不同TA，基金管理人需保证各TA分别报送各自“基金代码+份额类别”的数据</w:t>
      </w:r>
      <w:r>
        <w:rPr>
          <w:rFonts w:hint="eastAsia" w:ascii="Times New Roman" w:eastAsia="仿宋" w:cs="宋体"/>
          <w:strike w:val="0"/>
          <w:kern w:val="0"/>
          <w:sz w:val="32"/>
          <w:szCs w:val="32"/>
          <w:lang w:val="en-US" w:eastAsia="zh-CN"/>
        </w:rPr>
        <w:t>。同一产品各编码报送的</w:t>
      </w:r>
      <w:r>
        <w:rPr>
          <w:rFonts w:hint="eastAsia" w:ascii="Times New Roman" w:hAnsi="Times New Roman" w:eastAsia="仿宋" w:cs="宋体"/>
          <w:strike w:val="0"/>
          <w:kern w:val="0"/>
          <w:sz w:val="32"/>
          <w:szCs w:val="32"/>
          <w:lang w:val="en-US" w:eastAsia="zh-CN"/>
        </w:rPr>
        <w:t>的主基金代码</w:t>
      </w:r>
      <w:r>
        <w:rPr>
          <w:rFonts w:hint="eastAsia" w:ascii="Times New Roman" w:eastAsia="仿宋" w:cs="宋体"/>
          <w:strike w:val="0"/>
          <w:kern w:val="0"/>
          <w:sz w:val="32"/>
          <w:szCs w:val="32"/>
          <w:lang w:val="en-US" w:eastAsia="zh-CN"/>
        </w:rPr>
        <w:t>应保持</w:t>
      </w:r>
      <w:r>
        <w:rPr>
          <w:rFonts w:hint="eastAsia" w:ascii="Times New Roman" w:hAnsi="Times New Roman" w:eastAsia="仿宋" w:cs="宋体"/>
          <w:strike w:val="0"/>
          <w:kern w:val="0"/>
          <w:sz w:val="32"/>
          <w:szCs w:val="32"/>
          <w:lang w:val="en-US" w:eastAsia="zh-CN"/>
        </w:rPr>
        <w:t>一致。</w:t>
      </w:r>
    </w:p>
    <w:p>
      <w:pPr>
        <w:pStyle w:val="3"/>
        <w:numPr>
          <w:ilvl w:val="-1"/>
          <w:numId w:val="0"/>
        </w:numPr>
        <w:bidi w:val="0"/>
        <w:spacing w:before="0" w:line="240" w:lineRule="auto"/>
        <w:ind w:leftChars="0" w:firstLine="0"/>
        <w:rPr>
          <w:rFonts w:hint="eastAsia" w:ascii="Times New Roman" w:hAnsi="宋体" w:eastAsia="楷体" w:cs="Times New Roman"/>
          <w:b w:val="0"/>
          <w:bCs w:val="0"/>
          <w:color w:val="4F81BD"/>
          <w:sz w:val="32"/>
          <w:szCs w:val="20"/>
          <w:lang w:val="en-US" w:eastAsia="zh-CN"/>
        </w:rPr>
      </w:pPr>
      <w:bookmarkStart w:id="338" w:name="_Toc28001"/>
      <w:bookmarkStart w:id="339" w:name="_Toc14723"/>
      <w:bookmarkStart w:id="340" w:name="_Toc26029"/>
      <w:bookmarkStart w:id="341" w:name="_Toc6018"/>
      <w:bookmarkStart w:id="342" w:name="_Toc23665"/>
      <w:bookmarkStart w:id="343" w:name="_Toc24082"/>
      <w:bookmarkStart w:id="344" w:name="_Toc30185"/>
      <w:bookmarkStart w:id="345" w:name="_Toc22476"/>
      <w:bookmarkStart w:id="346" w:name="_Toc29875"/>
      <w:bookmarkStart w:id="347" w:name="_Toc12393"/>
      <w:bookmarkStart w:id="348" w:name="_Toc17013"/>
      <w:bookmarkStart w:id="349" w:name="_Toc3325"/>
      <w:bookmarkStart w:id="350" w:name="_Toc31025"/>
      <w:bookmarkStart w:id="351" w:name="_Toc19273"/>
      <w:bookmarkStart w:id="352" w:name="_Toc733"/>
      <w:bookmarkStart w:id="353" w:name="_Toc9901"/>
      <w:bookmarkStart w:id="354" w:name="_Toc3815"/>
      <w:bookmarkStart w:id="355" w:name="_Toc683"/>
      <w:bookmarkStart w:id="356" w:name="_Toc11642"/>
      <w:bookmarkStart w:id="357" w:name="_Toc2073"/>
      <w:bookmarkStart w:id="358" w:name="_Toc17613"/>
      <w:bookmarkStart w:id="359" w:name="_Toc27667"/>
      <w:bookmarkStart w:id="360" w:name="_Toc26996"/>
      <w:bookmarkStart w:id="361" w:name="_Toc15279"/>
      <w:bookmarkStart w:id="362" w:name="_Toc11637"/>
      <w:r>
        <w:rPr>
          <w:rFonts w:hint="eastAsia" w:ascii="Times New Roman" w:hAnsi="宋体" w:eastAsia="楷体" w:cs="Times New Roman"/>
          <w:b w:val="0"/>
          <w:bCs w:val="0"/>
          <w:color w:val="4F81BD"/>
          <w:sz w:val="32"/>
          <w:szCs w:val="20"/>
          <w:lang w:val="en-US" w:eastAsia="zh-CN"/>
        </w:rPr>
        <w:t>（五）基金运作信息（T2/TN）</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pPr>
        <w:keepNext/>
        <w:keepLines/>
        <w:pageBreakBefore w:val="0"/>
        <w:widowControl w:val="0"/>
        <w:numPr>
          <w:ilvl w:val="-1"/>
          <w:numId w:val="0"/>
        </w:numPr>
        <w:kinsoku/>
        <w:wordWrap/>
        <w:overflowPunct/>
        <w:topLinePunct w:val="0"/>
        <w:autoSpaceDE/>
        <w:autoSpaceDN/>
        <w:bidi w:val="0"/>
        <w:adjustRightInd/>
        <w:snapToGrid/>
        <w:spacing w:before="0" w:line="240" w:lineRule="auto"/>
        <w:ind w:leftChars="0" w:firstLine="641"/>
        <w:textAlignment w:val="auto"/>
        <w:outlineLvl w:val="9"/>
        <w:rPr>
          <w:rFonts w:hint="eastAsia" w:ascii="Times New Roman" w:eastAsia="仿宋" w:cs="宋体"/>
          <w:b w:val="0"/>
          <w:bCs w:val="0"/>
          <w:strike w:val="0"/>
          <w:kern w:val="0"/>
          <w:sz w:val="32"/>
          <w:szCs w:val="32"/>
          <w:lang w:val="en-US" w:eastAsia="zh-CN"/>
        </w:rPr>
      </w:pPr>
      <w:r>
        <w:rPr>
          <w:rFonts w:hint="eastAsia" w:ascii="Times New Roman" w:eastAsia="仿宋" w:cs="宋体"/>
          <w:b w:val="0"/>
          <w:bCs w:val="0"/>
          <w:strike w:val="0"/>
          <w:kern w:val="0"/>
          <w:sz w:val="32"/>
          <w:szCs w:val="32"/>
          <w:lang w:val="en-US" w:eastAsia="zh-CN"/>
        </w:rPr>
        <w:t>TA报送基金运作信息文件应做到不重不漏，对TA系统中实际登记的每个“基金代码+份额类别”，自其在TA系统中生效日起，到基金终止（基金状态为8-基金终止。基金终止日当日仍需报送），每交易日报送一条T2/TN文件记录。每日报送TA系统中所有基金的最新揭示净值及对应净值日期，净值日期通常为T-1日(T为文件名中日期，T-1日为T日的上一交易日，下同)。</w:t>
      </w:r>
      <w:bookmarkStart w:id="363" w:name="_Toc23492"/>
      <w:bookmarkStart w:id="364" w:name="_Toc9684"/>
      <w:bookmarkStart w:id="365" w:name="_Toc3828"/>
      <w:bookmarkStart w:id="366" w:name="_Toc6563"/>
      <w:bookmarkStart w:id="367" w:name="_Toc8157"/>
      <w:bookmarkStart w:id="368" w:name="_Toc567"/>
      <w:bookmarkStart w:id="369" w:name="_Toc13274"/>
      <w:bookmarkStart w:id="370" w:name="_Toc27248"/>
      <w:bookmarkStart w:id="371" w:name="_Toc18932"/>
      <w:bookmarkStart w:id="372" w:name="_Toc19837"/>
      <w:bookmarkStart w:id="373" w:name="_Toc26407"/>
      <w:bookmarkStart w:id="374" w:name="_Toc16081"/>
      <w:bookmarkStart w:id="375" w:name="_Toc21997"/>
      <w:bookmarkStart w:id="376" w:name="_Toc716"/>
      <w:bookmarkStart w:id="377" w:name="_Toc22210"/>
      <w:bookmarkStart w:id="378" w:name="_Toc16475"/>
      <w:bookmarkStart w:id="379" w:name="_Toc25924"/>
      <w:bookmarkStart w:id="380" w:name="_Toc24141"/>
      <w:bookmarkStart w:id="381" w:name="_Toc13161"/>
      <w:bookmarkStart w:id="382" w:name="_Toc5421"/>
      <w:bookmarkStart w:id="383" w:name="_Toc30918"/>
      <w:bookmarkStart w:id="384" w:name="_Toc1559"/>
    </w:p>
    <w:p>
      <w:pPr>
        <w:pStyle w:val="3"/>
        <w:numPr>
          <w:ilvl w:val="-1"/>
          <w:numId w:val="0"/>
        </w:numPr>
        <w:bidi w:val="0"/>
        <w:spacing w:before="0" w:line="240" w:lineRule="auto"/>
        <w:ind w:leftChars="0" w:firstLine="0"/>
        <w:rPr>
          <w:rFonts w:hint="eastAsia" w:ascii="Times New Roman" w:hAnsi="宋体" w:eastAsia="楷体" w:cs="Times New Roman"/>
          <w:b w:val="0"/>
          <w:bCs w:val="0"/>
          <w:color w:val="4F81BD"/>
          <w:sz w:val="32"/>
          <w:szCs w:val="20"/>
          <w:lang w:val="en-US" w:eastAsia="zh-CN"/>
        </w:rPr>
      </w:pPr>
      <w:bookmarkStart w:id="385" w:name="_Toc29001"/>
      <w:r>
        <w:rPr>
          <w:rFonts w:hint="eastAsia" w:ascii="Times New Roman" w:hAnsi="宋体" w:eastAsia="楷体" w:cs="Times New Roman"/>
          <w:b w:val="0"/>
          <w:bCs w:val="0"/>
          <w:color w:val="4F81BD"/>
          <w:sz w:val="32"/>
          <w:szCs w:val="20"/>
          <w:lang w:val="en-US" w:eastAsia="zh-CN"/>
        </w:rPr>
        <w:t>（六）个人反洗钱信息（X1/XA/X6/XB</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r>
        <w:rPr>
          <w:rFonts w:hint="eastAsia" w:ascii="Times New Roman" w:hAnsi="宋体" w:eastAsia="楷体" w:cs="Times New Roman"/>
          <w:b w:val="0"/>
          <w:bCs w:val="0"/>
          <w:color w:val="4F81BD"/>
          <w:sz w:val="32"/>
          <w:szCs w:val="20"/>
          <w:lang w:val="en-US" w:eastAsia="zh-CN"/>
        </w:rPr>
        <w:t>）</w:t>
      </w:r>
      <w:bookmarkEnd w:id="385"/>
    </w:p>
    <w:p>
      <w:pPr>
        <w:widowControl/>
        <w:autoSpaceDE/>
        <w:autoSpaceDN/>
        <w:adjustRightInd/>
        <w:spacing w:line="560" w:lineRule="exact"/>
        <w:ind w:firstLine="640" w:firstLineChars="200"/>
        <w:jc w:val="left"/>
        <w:rPr>
          <w:rFonts w:hint="default" w:ascii="Times New Roman" w:eastAsia="仿宋" w:cs="宋体"/>
          <w:b w:val="0"/>
          <w:bCs w:val="0"/>
          <w:strike w:val="0"/>
          <w:kern w:val="0"/>
          <w:sz w:val="32"/>
          <w:szCs w:val="32"/>
          <w:lang w:val="en-US" w:eastAsia="zh-CN"/>
        </w:rPr>
      </w:pPr>
      <w:r>
        <w:rPr>
          <w:rFonts w:hint="eastAsia" w:ascii="Times New Roman" w:eastAsia="仿宋" w:cs="宋体"/>
          <w:b w:val="0"/>
          <w:bCs w:val="0"/>
          <w:strike w:val="0"/>
          <w:kern w:val="0"/>
          <w:sz w:val="32"/>
          <w:szCs w:val="32"/>
          <w:lang w:val="en-US" w:eastAsia="zh-CN"/>
        </w:rPr>
        <w:t>对于个人反洗钱业务，中数平台目前对以下字段在报送时做必填校验，其余接口要求必填字段，将定期进行数据稽核校验。</w:t>
      </w:r>
    </w:p>
    <w:p>
      <w:pPr>
        <w:widowControl/>
        <w:autoSpaceDE/>
        <w:autoSpaceDN/>
        <w:adjustRightInd/>
        <w:spacing w:line="560" w:lineRule="exact"/>
        <w:ind w:firstLine="640" w:firstLineChars="200"/>
        <w:jc w:val="left"/>
        <w:rPr>
          <w:rFonts w:hint="eastAsia" w:ascii="Times New Roman" w:eastAsia="仿宋" w:cs="宋体"/>
          <w:b w:val="0"/>
          <w:bCs w:val="0"/>
          <w:strike w:val="0"/>
          <w:kern w:val="0"/>
          <w:sz w:val="32"/>
          <w:szCs w:val="32"/>
          <w:lang w:val="en-US" w:eastAsia="zh-CN"/>
        </w:rPr>
      </w:pPr>
      <w:r>
        <w:rPr>
          <w:rFonts w:hint="eastAsia" w:ascii="Times New Roman" w:eastAsia="仿宋" w:cs="宋体"/>
          <w:b w:val="0"/>
          <w:bCs w:val="0"/>
          <w:strike w:val="0"/>
          <w:kern w:val="0"/>
          <w:sz w:val="32"/>
          <w:szCs w:val="32"/>
          <w:lang w:val="en-US" w:eastAsia="zh-CN"/>
        </w:rPr>
        <w:t>目前必填校验字段：销售人代码、网点号码、投资人基金帐号、个人/机构标志、投资人户名、个人证件类型及机构证件类型、投资人证件号码、证件有效日期、投资人性别、投资人出生日期、投资者国家或地区、增删标志。（对于增量数据，增加必填校验字段：申请单编号、交易发生日期、交易发生时间）。</w:t>
      </w:r>
    </w:p>
    <w:p>
      <w:pPr>
        <w:pStyle w:val="3"/>
        <w:numPr>
          <w:ilvl w:val="-1"/>
          <w:numId w:val="0"/>
        </w:numPr>
        <w:bidi w:val="0"/>
        <w:spacing w:before="0" w:line="240" w:lineRule="auto"/>
        <w:ind w:leftChars="0" w:firstLine="0"/>
        <w:rPr>
          <w:rFonts w:hint="eastAsia" w:ascii="Times New Roman" w:hAnsi="宋体" w:eastAsia="楷体" w:cs="Times New Roman"/>
          <w:b w:val="0"/>
          <w:bCs w:val="0"/>
          <w:color w:val="4F81BD"/>
          <w:sz w:val="32"/>
          <w:szCs w:val="20"/>
          <w:lang w:val="en-US" w:eastAsia="zh-CN"/>
        </w:rPr>
      </w:pPr>
      <w:bookmarkStart w:id="386" w:name="_Toc31342"/>
      <w:bookmarkStart w:id="387" w:name="_Toc16935"/>
      <w:bookmarkStart w:id="388" w:name="_Toc5696"/>
      <w:bookmarkStart w:id="389" w:name="_Toc794"/>
      <w:bookmarkStart w:id="390" w:name="_Toc32463"/>
      <w:bookmarkStart w:id="391" w:name="_Toc30437"/>
      <w:bookmarkStart w:id="392" w:name="_Toc8392"/>
      <w:bookmarkStart w:id="393" w:name="_Toc16593"/>
      <w:bookmarkStart w:id="394" w:name="_Toc4952"/>
      <w:bookmarkStart w:id="395" w:name="_Toc10651"/>
      <w:bookmarkStart w:id="396" w:name="_Toc6456"/>
      <w:bookmarkStart w:id="397" w:name="_Toc10087"/>
      <w:bookmarkStart w:id="398" w:name="_Toc27840"/>
      <w:bookmarkStart w:id="399" w:name="_Toc23050"/>
      <w:bookmarkStart w:id="400" w:name="_Toc2759"/>
      <w:bookmarkStart w:id="401" w:name="_Toc21910"/>
      <w:bookmarkStart w:id="402" w:name="_Toc2286"/>
      <w:bookmarkStart w:id="403" w:name="_Toc2541"/>
      <w:bookmarkStart w:id="404" w:name="_Toc4110"/>
      <w:bookmarkStart w:id="405" w:name="_Toc28064"/>
      <w:bookmarkStart w:id="406" w:name="_Toc27131"/>
      <w:bookmarkStart w:id="407" w:name="_Toc19549"/>
      <w:bookmarkStart w:id="408" w:name="_Toc4788"/>
      <w:r>
        <w:rPr>
          <w:rFonts w:hint="eastAsia" w:ascii="Times New Roman" w:hAnsi="宋体" w:eastAsia="楷体" w:cs="Times New Roman"/>
          <w:b w:val="0"/>
          <w:bCs w:val="0"/>
          <w:color w:val="4F81BD"/>
          <w:sz w:val="32"/>
          <w:szCs w:val="20"/>
          <w:lang w:val="en-US" w:eastAsia="zh-CN"/>
        </w:rPr>
        <w:t>（七）机构反洗钱信息（X3/XC/X8/XD</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rPr>
          <w:rFonts w:hint="eastAsia" w:ascii="Times New Roman" w:hAnsi="宋体" w:eastAsia="楷体" w:cs="Times New Roman"/>
          <w:b w:val="0"/>
          <w:bCs w:val="0"/>
          <w:color w:val="4F81BD"/>
          <w:sz w:val="32"/>
          <w:szCs w:val="20"/>
          <w:lang w:val="en-US" w:eastAsia="zh-CN"/>
        </w:rPr>
        <w:t>）</w:t>
      </w:r>
      <w:bookmarkEnd w:id="408"/>
    </w:p>
    <w:p>
      <w:pPr>
        <w:widowControl/>
        <w:autoSpaceDE/>
        <w:autoSpaceDN/>
        <w:adjustRightInd/>
        <w:spacing w:line="560" w:lineRule="exact"/>
        <w:ind w:firstLine="640" w:firstLineChars="200"/>
        <w:jc w:val="left"/>
        <w:rPr>
          <w:rFonts w:hint="default" w:ascii="Times New Roman" w:eastAsia="仿宋" w:cs="宋体"/>
          <w:b w:val="0"/>
          <w:bCs w:val="0"/>
          <w:strike w:val="0"/>
          <w:kern w:val="0"/>
          <w:sz w:val="32"/>
          <w:szCs w:val="32"/>
          <w:lang w:val="en-US" w:eastAsia="zh-CN"/>
        </w:rPr>
      </w:pPr>
      <w:r>
        <w:rPr>
          <w:rFonts w:hint="eastAsia" w:ascii="Times New Roman" w:eastAsia="仿宋" w:cs="宋体"/>
          <w:b w:val="0"/>
          <w:bCs w:val="0"/>
          <w:strike w:val="0"/>
          <w:kern w:val="0"/>
          <w:sz w:val="32"/>
          <w:szCs w:val="32"/>
          <w:lang w:val="en-US" w:eastAsia="zh-CN"/>
        </w:rPr>
        <w:t>对于机构反洗钱业务，中数平台目前对以下字段在报送时做必填校验，其余接口要求必填字段，将定期进行数据稽核校验。</w:t>
      </w:r>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eastAsia="仿宋" w:cs="宋体"/>
          <w:b w:val="0"/>
          <w:bCs w:val="0"/>
          <w:strike w:val="0"/>
          <w:kern w:val="0"/>
          <w:sz w:val="32"/>
          <w:szCs w:val="32"/>
          <w:lang w:val="en-US" w:eastAsia="zh-CN"/>
        </w:rPr>
        <w:t>目前必填校验字段：</w:t>
      </w:r>
      <w:r>
        <w:rPr>
          <w:rFonts w:hint="eastAsia" w:ascii="Times New Roman" w:hAnsi="Times New Roman" w:eastAsia="仿宋" w:cs="宋体"/>
          <w:strike w:val="0"/>
          <w:kern w:val="0"/>
          <w:sz w:val="32"/>
          <w:szCs w:val="32"/>
          <w:lang w:val="en-US" w:eastAsia="zh-CN"/>
        </w:rPr>
        <w:t>销售人代码、网点号码、投资人基金帐号、个人/机构标志、投资人户名、个人证件类型及机构证件类型、投资人证件号码、证件有效日期、‘现居国家或地区’和‘注册地国家或地区代码’对机构投资者要求必填其一、资产管理人（产品投资者必填）、增删标志。（</w:t>
      </w:r>
      <w:r>
        <w:rPr>
          <w:rFonts w:hint="eastAsia" w:ascii="Times New Roman" w:eastAsia="仿宋" w:cs="宋体"/>
          <w:b w:val="0"/>
          <w:bCs w:val="0"/>
          <w:strike w:val="0"/>
          <w:kern w:val="0"/>
          <w:sz w:val="32"/>
          <w:szCs w:val="32"/>
          <w:lang w:val="en-US" w:eastAsia="zh-CN"/>
        </w:rPr>
        <w:t>对于增量数据，增加必填校验字段</w:t>
      </w:r>
      <w:r>
        <w:rPr>
          <w:rFonts w:hint="eastAsia" w:ascii="Times New Roman" w:hAnsi="Times New Roman" w:eastAsia="仿宋" w:cs="宋体"/>
          <w:strike w:val="0"/>
          <w:kern w:val="0"/>
          <w:sz w:val="32"/>
          <w:szCs w:val="32"/>
          <w:lang w:val="en-US" w:eastAsia="zh-CN"/>
        </w:rPr>
        <w:t>：申请单编号、交易发生日期、交易发生时间）。</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409" w:name="_Toc31504"/>
      <w:bookmarkStart w:id="410" w:name="_Toc31313"/>
      <w:bookmarkStart w:id="411" w:name="_Toc1176"/>
      <w:bookmarkStart w:id="412" w:name="_Toc9064"/>
      <w:bookmarkStart w:id="413" w:name="_Toc26201"/>
      <w:bookmarkStart w:id="414" w:name="_Toc30902"/>
      <w:bookmarkStart w:id="415" w:name="_Toc30037"/>
      <w:bookmarkStart w:id="416" w:name="_Toc23415"/>
      <w:bookmarkStart w:id="417" w:name="_Toc32249"/>
      <w:bookmarkStart w:id="418" w:name="_Toc26219"/>
      <w:bookmarkStart w:id="419" w:name="_Toc31877"/>
      <w:bookmarkStart w:id="420" w:name="_Toc506"/>
      <w:bookmarkStart w:id="421" w:name="_Toc950"/>
      <w:bookmarkStart w:id="422" w:name="_Toc21489"/>
      <w:bookmarkStart w:id="423" w:name="_Toc31913"/>
      <w:bookmarkStart w:id="424" w:name="_Toc332"/>
      <w:bookmarkStart w:id="425" w:name="_Toc8937"/>
      <w:bookmarkStart w:id="426" w:name="_Toc26589"/>
      <w:bookmarkStart w:id="427" w:name="_Toc7644"/>
      <w:bookmarkStart w:id="428" w:name="_Toc13962"/>
      <w:bookmarkStart w:id="429" w:name="_Toc29737"/>
      <w:bookmarkStart w:id="430" w:name="_Toc29587"/>
      <w:bookmarkStart w:id="431" w:name="_Toc31106"/>
      <w:bookmarkStart w:id="432" w:name="_Toc24292"/>
      <w:bookmarkStart w:id="433" w:name="_Toc32748"/>
      <w:r>
        <w:rPr>
          <w:rFonts w:hint="eastAsia" w:ascii="Times New Roman" w:hAnsi="Times New Roman" w:eastAsia="黑体" w:cs="Times New Roman"/>
          <w:b w:val="0"/>
          <w:bCs w:val="0"/>
          <w:color w:val="4F81BD"/>
          <w:kern w:val="44"/>
          <w:sz w:val="32"/>
          <w:szCs w:val="32"/>
          <w:lang w:eastAsia="zh-CN"/>
        </w:rPr>
        <w:t>七、测试与切换安排</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eastAsia="仿宋" w:cs="宋体"/>
          <w:strike w:val="0"/>
          <w:kern w:val="0"/>
          <w:sz w:val="32"/>
          <w:szCs w:val="32"/>
          <w:lang w:val="en-US" w:eastAsia="zh-CN"/>
        </w:rPr>
        <w:t>中数平台为本次接口升级提供市场测试环境，供参与人测试验证使用，参与人需在测试环境测试通过后，再进行生产环境切换升级。具体测试</w:t>
      </w:r>
      <w:r>
        <w:rPr>
          <w:rFonts w:hint="eastAsia" w:ascii="Times New Roman" w:hAnsi="Times New Roman" w:eastAsia="仿宋" w:cs="宋体"/>
          <w:strike w:val="0"/>
          <w:kern w:val="0"/>
          <w:sz w:val="32"/>
          <w:szCs w:val="32"/>
          <w:lang w:val="en-US" w:eastAsia="zh-CN"/>
        </w:rPr>
        <w:t>安排请参见《基金行业数据集中备份接口规范V2.2版本升级测试方案》</w:t>
      </w:r>
      <w:r>
        <w:rPr>
          <w:rFonts w:hint="eastAsia" w:ascii="Times New Roman" w:eastAsia="仿宋" w:cs="宋体"/>
          <w:strike w:val="0"/>
          <w:kern w:val="0"/>
          <w:sz w:val="32"/>
          <w:szCs w:val="32"/>
          <w:lang w:val="en-US" w:eastAsia="zh-CN"/>
        </w:rPr>
        <w:t>。</w:t>
      </w:r>
    </w:p>
    <w:p>
      <w:pPr>
        <w:widowControl/>
        <w:autoSpaceDE/>
        <w:autoSpaceDN/>
        <w:adjustRightInd/>
        <w:spacing w:line="560" w:lineRule="exact"/>
        <w:ind w:firstLine="640" w:firstLineChars="200"/>
        <w:jc w:val="left"/>
        <w:rPr>
          <w:rFonts w:hint="default"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本接口的切换应分批进行，TA应根据</w:t>
      </w:r>
      <w:r>
        <w:rPr>
          <w:rFonts w:hint="eastAsia" w:ascii="Times New Roman" w:eastAsia="仿宋" w:cs="宋体"/>
          <w:strike w:val="0"/>
          <w:kern w:val="0"/>
          <w:sz w:val="32"/>
          <w:szCs w:val="32"/>
          <w:lang w:val="en-US" w:eastAsia="zh-CN"/>
        </w:rPr>
        <w:t>中数平台的</w:t>
      </w:r>
      <w:r>
        <w:rPr>
          <w:rFonts w:hint="eastAsia" w:ascii="Times New Roman" w:hAnsi="Times New Roman" w:eastAsia="仿宋" w:cs="宋体"/>
          <w:strike w:val="0"/>
          <w:kern w:val="0"/>
          <w:sz w:val="32"/>
          <w:szCs w:val="32"/>
          <w:lang w:val="en-US" w:eastAsia="zh-CN"/>
        </w:rPr>
        <w:t>切换安排</w:t>
      </w:r>
      <w:r>
        <w:rPr>
          <w:rFonts w:hint="eastAsia" w:ascii="Times New Roman" w:eastAsia="仿宋" w:cs="宋体"/>
          <w:strike w:val="0"/>
          <w:kern w:val="0"/>
          <w:sz w:val="32"/>
          <w:szCs w:val="32"/>
          <w:lang w:val="en-US" w:eastAsia="zh-CN"/>
        </w:rPr>
        <w:t>进行备份接口切换</w:t>
      </w:r>
      <w:r>
        <w:rPr>
          <w:rFonts w:hint="eastAsia" w:ascii="Times New Roman" w:hAnsi="Times New Roman" w:eastAsia="仿宋" w:cs="宋体"/>
          <w:strike w:val="0"/>
          <w:kern w:val="0"/>
          <w:sz w:val="32"/>
          <w:szCs w:val="32"/>
          <w:lang w:val="en-US" w:eastAsia="zh-CN"/>
        </w:rPr>
        <w:t>。切换时，同一TA所有（销售机构）数据应同时进行版本升级切换</w:t>
      </w:r>
      <w:r>
        <w:rPr>
          <w:rFonts w:hint="eastAsia" w:ascii="Times New Roman" w:eastAsia="仿宋" w:cs="宋体"/>
          <w:strike w:val="0"/>
          <w:kern w:val="0"/>
          <w:sz w:val="32"/>
          <w:szCs w:val="32"/>
          <w:lang w:val="en-US" w:eastAsia="zh-CN"/>
        </w:rPr>
        <w:t>，</w:t>
      </w:r>
      <w:r>
        <w:rPr>
          <w:rFonts w:hint="eastAsia" w:ascii="Times New Roman" w:hAnsi="Times New Roman" w:eastAsia="仿宋" w:cs="宋体"/>
          <w:strike w:val="0"/>
          <w:kern w:val="0"/>
          <w:sz w:val="32"/>
          <w:szCs w:val="32"/>
          <w:lang w:val="en-US" w:eastAsia="zh-CN"/>
        </w:rPr>
        <w:t>如</w:t>
      </w:r>
      <w:r>
        <w:rPr>
          <w:rFonts w:hint="eastAsia" w:ascii="Times New Roman" w:eastAsia="仿宋" w:cs="宋体"/>
          <w:strike w:val="0"/>
          <w:kern w:val="0"/>
          <w:sz w:val="32"/>
          <w:szCs w:val="32"/>
          <w:lang w:val="en-US" w:eastAsia="zh-CN"/>
        </w:rPr>
        <w:t>自TA切换当日起仍</w:t>
      </w:r>
      <w:r>
        <w:rPr>
          <w:rFonts w:hint="eastAsia" w:ascii="Times New Roman" w:hAnsi="Times New Roman" w:eastAsia="仿宋" w:cs="宋体"/>
          <w:strike w:val="0"/>
          <w:kern w:val="0"/>
          <w:sz w:val="32"/>
          <w:szCs w:val="32"/>
          <w:lang w:val="en-US" w:eastAsia="zh-CN"/>
        </w:rPr>
        <w:t>存在个别销售机构</w:t>
      </w:r>
      <w:r>
        <w:rPr>
          <w:rFonts w:hint="eastAsia" w:ascii="Times New Roman" w:eastAsia="仿宋" w:cs="宋体"/>
          <w:strike w:val="0"/>
          <w:kern w:val="0"/>
          <w:sz w:val="32"/>
          <w:szCs w:val="32"/>
          <w:lang w:val="en-US" w:eastAsia="zh-CN"/>
        </w:rPr>
        <w:t>与TA交互的《开放式基金业务数据交换协议》</w:t>
      </w:r>
      <w:r>
        <w:rPr>
          <w:rFonts w:hint="eastAsia" w:ascii="Times New Roman" w:hAnsi="Times New Roman" w:eastAsia="仿宋" w:cs="宋体"/>
          <w:strike w:val="0"/>
          <w:kern w:val="0"/>
          <w:sz w:val="32"/>
          <w:szCs w:val="32"/>
          <w:lang w:val="en-US" w:eastAsia="zh-CN"/>
        </w:rPr>
        <w:t>未切换V2.2版本</w:t>
      </w:r>
      <w:r>
        <w:rPr>
          <w:rFonts w:hint="eastAsia" w:ascii="Times New Roman" w:eastAsia="仿宋" w:cs="宋体"/>
          <w:strike w:val="0"/>
          <w:kern w:val="0"/>
          <w:sz w:val="32"/>
          <w:szCs w:val="32"/>
          <w:lang w:val="en-US" w:eastAsia="zh-CN"/>
        </w:rPr>
        <w:t>的</w:t>
      </w:r>
      <w:r>
        <w:rPr>
          <w:rFonts w:hint="eastAsia" w:ascii="Times New Roman" w:hAnsi="Times New Roman" w:eastAsia="仿宋" w:cs="宋体"/>
          <w:strike w:val="0"/>
          <w:kern w:val="0"/>
          <w:sz w:val="32"/>
          <w:szCs w:val="32"/>
          <w:lang w:val="en-US" w:eastAsia="zh-CN"/>
        </w:rPr>
        <w:t>情况，TA应内部进行数据字典转换后，按</w:t>
      </w:r>
      <w:r>
        <w:rPr>
          <w:rFonts w:hint="eastAsia" w:ascii="Times New Roman" w:eastAsia="仿宋" w:cs="宋体"/>
          <w:strike w:val="0"/>
          <w:kern w:val="0"/>
          <w:sz w:val="32"/>
          <w:szCs w:val="32"/>
          <w:lang w:val="en-US" w:eastAsia="zh-CN"/>
        </w:rPr>
        <w:t>V2.2备份</w:t>
      </w:r>
      <w:r>
        <w:rPr>
          <w:rFonts w:hint="eastAsia" w:ascii="Times New Roman" w:hAnsi="Times New Roman" w:eastAsia="仿宋" w:cs="宋体"/>
          <w:strike w:val="0"/>
          <w:kern w:val="0"/>
          <w:sz w:val="32"/>
          <w:szCs w:val="32"/>
          <w:lang w:val="en-US" w:eastAsia="zh-CN"/>
        </w:rPr>
        <w:t>接口报送相应数据。</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434" w:name="_Toc11233"/>
      <w:bookmarkStart w:id="435" w:name="_Toc4868"/>
      <w:bookmarkStart w:id="436" w:name="_Toc19689"/>
      <w:bookmarkStart w:id="437" w:name="_Toc13620"/>
      <w:bookmarkStart w:id="438" w:name="_Toc12324"/>
      <w:bookmarkStart w:id="439" w:name="_Toc10287"/>
      <w:bookmarkStart w:id="440" w:name="_Toc13286"/>
      <w:bookmarkStart w:id="441" w:name="_Toc29896"/>
      <w:bookmarkStart w:id="442" w:name="_Toc32556"/>
      <w:bookmarkStart w:id="443" w:name="_Toc16876"/>
      <w:bookmarkStart w:id="444" w:name="_Toc594"/>
      <w:bookmarkStart w:id="445" w:name="_Toc2522"/>
      <w:bookmarkStart w:id="446" w:name="_Toc18102"/>
      <w:bookmarkStart w:id="447" w:name="_Toc10039"/>
      <w:bookmarkStart w:id="448" w:name="_Toc660"/>
      <w:bookmarkStart w:id="449" w:name="_Toc29991"/>
      <w:bookmarkStart w:id="450" w:name="_Toc31008"/>
      <w:bookmarkStart w:id="451" w:name="_Toc17557"/>
      <w:bookmarkStart w:id="452" w:name="_Toc31809"/>
      <w:bookmarkStart w:id="453" w:name="_Toc13224"/>
      <w:bookmarkStart w:id="454" w:name="_Toc16208"/>
      <w:bookmarkStart w:id="455" w:name="_Toc21537"/>
      <w:bookmarkStart w:id="456" w:name="_Toc8074"/>
      <w:bookmarkStart w:id="457" w:name="_Toc13750"/>
      <w:bookmarkStart w:id="458" w:name="_Toc15182"/>
      <w:r>
        <w:rPr>
          <w:rFonts w:hint="eastAsia" w:ascii="Times New Roman" w:hAnsi="Times New Roman" w:eastAsia="黑体" w:cs="Times New Roman"/>
          <w:b w:val="0"/>
          <w:bCs w:val="0"/>
          <w:color w:val="4F81BD"/>
          <w:kern w:val="44"/>
          <w:sz w:val="32"/>
          <w:szCs w:val="32"/>
          <w:lang w:eastAsia="zh-CN"/>
        </w:rPr>
        <w:t>八、本文档的更新</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p>
      <w:pPr>
        <w:widowControl/>
        <w:autoSpaceDE/>
        <w:autoSpaceDN/>
        <w:adjustRightInd/>
        <w:spacing w:line="560" w:lineRule="exact"/>
        <w:ind w:firstLine="640" w:firstLineChars="200"/>
        <w:jc w:val="left"/>
        <w:rPr>
          <w:rFonts w:hint="eastAsia" w:ascii="Times New Roman" w:hAnsi="Times New Roman" w:eastAsia="仿宋" w:cs="宋体"/>
          <w:strike w:val="0"/>
          <w:kern w:val="0"/>
          <w:sz w:val="32"/>
          <w:szCs w:val="32"/>
          <w:lang w:val="en-US" w:eastAsia="zh-CN"/>
        </w:rPr>
      </w:pPr>
      <w:r>
        <w:rPr>
          <w:rFonts w:hint="eastAsia" w:ascii="Times New Roman" w:hAnsi="Times New Roman" w:eastAsia="仿宋" w:cs="宋体"/>
          <w:strike w:val="0"/>
          <w:kern w:val="0"/>
          <w:sz w:val="32"/>
          <w:szCs w:val="32"/>
          <w:lang w:val="en-US" w:eastAsia="zh-CN"/>
        </w:rPr>
        <w:t>本文档将不定期进行更新（文件名中会包含最后</w:t>
      </w:r>
      <w:r>
        <w:rPr>
          <w:rFonts w:hint="eastAsia" w:ascii="Times New Roman" w:eastAsia="仿宋" w:cs="宋体"/>
          <w:strike w:val="0"/>
          <w:kern w:val="0"/>
          <w:sz w:val="32"/>
          <w:szCs w:val="32"/>
          <w:lang w:val="en-US" w:eastAsia="zh-CN"/>
        </w:rPr>
        <w:t>修订</w:t>
      </w:r>
      <w:r>
        <w:rPr>
          <w:rFonts w:hint="eastAsia" w:ascii="Times New Roman" w:hAnsi="Times New Roman" w:eastAsia="仿宋" w:cs="宋体"/>
          <w:strike w:val="0"/>
          <w:kern w:val="0"/>
          <w:sz w:val="32"/>
          <w:szCs w:val="32"/>
          <w:lang w:val="en-US" w:eastAsia="zh-CN"/>
        </w:rPr>
        <w:t>日期）。</w:t>
      </w:r>
    </w:p>
    <w:p>
      <w:pPr>
        <w:pStyle w:val="2"/>
        <w:numPr>
          <w:ilvl w:val="0"/>
          <w:numId w:val="0"/>
        </w:numPr>
        <w:spacing w:before="240" w:after="0"/>
        <w:ind w:leftChars="0" w:firstLine="0"/>
        <w:jc w:val="both"/>
        <w:rPr>
          <w:rFonts w:hint="eastAsia" w:ascii="Times New Roman" w:hAnsi="Times New Roman" w:eastAsia="黑体" w:cs="Times New Roman"/>
          <w:b w:val="0"/>
          <w:bCs w:val="0"/>
          <w:color w:val="4F81BD"/>
          <w:kern w:val="44"/>
          <w:sz w:val="32"/>
          <w:szCs w:val="32"/>
          <w:lang w:eastAsia="zh-CN"/>
        </w:rPr>
      </w:pPr>
      <w:bookmarkStart w:id="459" w:name="_Toc9874"/>
      <w:bookmarkStart w:id="460" w:name="_Toc12112"/>
      <w:bookmarkStart w:id="461" w:name="_Toc3167"/>
      <w:bookmarkStart w:id="462" w:name="_Toc15313"/>
      <w:bookmarkStart w:id="463" w:name="_Toc30887"/>
      <w:bookmarkStart w:id="464" w:name="_Toc27010"/>
      <w:bookmarkStart w:id="465" w:name="_Toc25917"/>
      <w:bookmarkStart w:id="466" w:name="_Toc10294"/>
      <w:bookmarkStart w:id="467" w:name="_Toc21769"/>
      <w:bookmarkStart w:id="468" w:name="_Toc16100"/>
      <w:bookmarkStart w:id="469" w:name="_Toc648"/>
      <w:bookmarkStart w:id="470" w:name="_Toc14876"/>
      <w:bookmarkStart w:id="471" w:name="_Toc27859"/>
      <w:bookmarkStart w:id="472" w:name="_Toc4236"/>
      <w:bookmarkStart w:id="473" w:name="_Toc12560"/>
      <w:bookmarkStart w:id="474" w:name="_Toc9701"/>
      <w:bookmarkStart w:id="475" w:name="_Toc4756"/>
      <w:bookmarkStart w:id="476" w:name="_Toc498"/>
      <w:bookmarkStart w:id="477" w:name="_Toc28852"/>
      <w:bookmarkStart w:id="478" w:name="_Toc2268"/>
      <w:bookmarkStart w:id="479" w:name="_Toc15013"/>
      <w:bookmarkStart w:id="480" w:name="_Toc28851"/>
      <w:bookmarkStart w:id="481" w:name="_Toc19525"/>
      <w:bookmarkStart w:id="482" w:name="_Toc13054"/>
      <w:bookmarkStart w:id="483" w:name="_Toc22967"/>
      <w:r>
        <w:rPr>
          <w:rFonts w:hint="eastAsia" w:ascii="Times New Roman" w:hAnsi="Times New Roman" w:eastAsia="黑体" w:cs="Times New Roman"/>
          <w:b w:val="0"/>
          <w:bCs w:val="0"/>
          <w:color w:val="4F81BD"/>
          <w:kern w:val="44"/>
          <w:sz w:val="32"/>
          <w:szCs w:val="32"/>
          <w:lang w:eastAsia="zh-CN"/>
        </w:rPr>
        <w:t>九、其它</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pPr>
        <w:widowControl/>
        <w:autoSpaceDE/>
        <w:autoSpaceDN/>
        <w:adjustRightInd/>
        <w:spacing w:line="560" w:lineRule="exact"/>
        <w:ind w:firstLine="640" w:firstLineChars="200"/>
        <w:jc w:val="left"/>
        <w:rPr>
          <w:rFonts w:hint="eastAsia" w:ascii="Times New Roman" w:hAnsi="Times New Roman" w:eastAsia="仿宋" w:cs="宋体"/>
          <w:b/>
          <w:bCs/>
          <w:strike w:val="0"/>
          <w:kern w:val="0"/>
          <w:sz w:val="32"/>
          <w:szCs w:val="32"/>
          <w:lang w:val="en-US" w:eastAsia="zh-CN"/>
        </w:rPr>
      </w:pPr>
      <w:r>
        <w:rPr>
          <w:rFonts w:hint="eastAsia" w:ascii="Times New Roman" w:hAnsi="Times New Roman" w:eastAsia="仿宋" w:cs="宋体"/>
          <w:strike w:val="0"/>
          <w:kern w:val="0"/>
          <w:sz w:val="32"/>
          <w:szCs w:val="32"/>
          <w:lang w:val="en-US" w:eastAsia="zh-CN"/>
        </w:rPr>
        <w:t>无。</w:t>
      </w:r>
    </w:p>
    <w:sectPr>
      <w:headerReference r:id="rId5" w:type="default"/>
      <w:footerReference r:id="rId6" w:type="default"/>
      <w:pgSz w:w="11907" w:h="16840"/>
      <w:pgMar w:top="2098" w:right="1474" w:bottom="1984" w:left="1587" w:header="1134"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CG Times">
    <w:altName w:val="Times New Roman"/>
    <w:panose1 w:val="00000000000000000000"/>
    <w:charset w:val="00"/>
    <w:family w:val="auto"/>
    <w:pitch w:val="default"/>
    <w:sig w:usb0="00000000" w:usb1="00000000" w:usb2="00000000" w:usb3="00000000" w:csb0="00000093"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top w:val="double" w:color="auto" w:sz="4" w:space="2"/>
      </w:pBdr>
      <w:adjustRightInd w:val="0"/>
      <w:ind w:firstLine="0"/>
      <w:jc w:val="left"/>
    </w:pPr>
    <w:r>
      <w:rPr>
        <w:rFonts w:hint="eastAsia" w:ascii="Times New Roman" w:eastAsia="仿宋"/>
        <w:sz w:val="24"/>
      </w:rPr>
      <w:t xml:space="preserve">基金行业数据集中备份接口规范V2.2版本报送技术帮助文档   </w:t>
    </w:r>
    <w:r>
      <w:rPr>
        <w:rFonts w:hint="eastAsia" w:ascii="Times New Roman" w:eastAsia="仿宋"/>
        <w:sz w:val="24"/>
        <w:lang w:val="en-US" w:eastAsia="zh-CN"/>
      </w:rPr>
      <w:t xml:space="preserve">     </w:t>
    </w:r>
    <w:r>
      <w:rPr>
        <w:rFonts w:hint="eastAsia" w:ascii="Times New Roman" w:eastAsia="仿宋"/>
        <w:sz w:val="24"/>
      </w:rPr>
      <w:t>202</w:t>
    </w:r>
    <w:r>
      <w:rPr>
        <w:rFonts w:hint="eastAsia" w:ascii="Times New Roman" w:eastAsia="仿宋"/>
        <w:sz w:val="24"/>
        <w:lang w:val="en-US" w:eastAsia="zh-CN"/>
      </w:rPr>
      <w:t>4</w:t>
    </w:r>
    <w:r>
      <w:rPr>
        <w:rFonts w:hint="eastAsia" w:ascii="Times New Roman" w:eastAsia="仿宋"/>
        <w:sz w:val="24"/>
      </w:rPr>
      <w:t>年</w:t>
    </w:r>
    <w:r>
      <w:rPr>
        <w:rFonts w:hint="eastAsia" w:ascii="Times New Roman" w:eastAsia="仿宋"/>
        <w:sz w:val="24"/>
        <w:lang w:val="en-US" w:eastAsia="zh-CN"/>
      </w:rPr>
      <w:t>3</w:t>
    </w:r>
    <w:r>
      <w:rPr>
        <w:rFonts w:hint="eastAsia" w:ascii="Times New Roman" w:eastAsia="仿宋"/>
        <w:sz w:val="24"/>
      </w:rPr>
      <w:t>月制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nThickSmallGap" w:color="auto" w:sz="24" w:space="4"/>
      </w:pBdr>
      <w:tabs>
        <w:tab w:val="center" w:pos="3500"/>
        <w:tab w:val="right" w:pos="5880"/>
        <w:tab w:val="clear" w:pos="4153"/>
        <w:tab w:val="clear" w:pos="8306"/>
      </w:tabs>
      <w:ind w:firstLine="0"/>
      <w:jc w:val="both"/>
    </w:pPr>
    <w:r>
      <w:object>
        <v:shape id="_x0000_i1025" o:spt="75" type="#_x0000_t75" style="height:17.25pt;width:16.5pt;" o:ole="t" fillcolor="#FFFFFF" filled="f" o:preferrelative="t" stroked="f" coordsize="21600,21600">
          <v:path/>
          <v:fill on="f" focussize="0,0"/>
          <v:stroke on="f" joinstyle="miter"/>
          <v:imagedata r:id="rId2" o:title=""/>
          <o:lock v:ext="edit" aspectratio="t"/>
          <w10:wrap type="none"/>
          <w10:anchorlock/>
        </v:shape>
        <o:OLEObject Type="Embed" ProgID="PBrush" ShapeID="_x0000_i1025" DrawAspect="Content" ObjectID="_1468075725" r:id="rId1">
          <o:LockedField>false</o:LockedField>
        </o:OLEObject>
      </w:object>
    </w:r>
    <w:r>
      <w:rPr>
        <w:rFonts w:hint="eastAsia"/>
      </w:rPr>
      <w:t>中国证券登记结算有限责任公司</w:t>
    </w:r>
    <w:r>
      <w:rPr>
        <w:rFonts w:hint="eastAsia"/>
        <w:b/>
        <w:sz w:val="32"/>
      </w:rPr>
      <w:t xml:space="preserve">      </w:t>
    </w:r>
    <w:r>
      <w:rPr>
        <w:rFonts w:hint="eastAsia" w:eastAsia="隶书"/>
        <w:sz w:val="24"/>
      </w:rPr>
      <w:t xml:space="preserve">    工程技术文档</w:t>
    </w:r>
    <w:r>
      <w:rPr>
        <w:rFonts w:hint="eastAsia"/>
      </w:rPr>
      <w:t xml:space="preserve">                          目录</w:t>
    </w:r>
  </w:p>
  <w:p>
    <w:pPr>
      <w:pStyle w:val="14"/>
      <w:pBdr>
        <w:bottom w:val="none" w:color="auto" w:sz="0" w:space="1"/>
      </w:pBdr>
      <w:spacing w:line="240" w:lineRule="auto"/>
      <w:jc w:val="left"/>
      <w:rPr>
        <w:rFonts w:hint="eastAsia" w:ascii="CG Times" w:hAnsi="CG Times" w:eastAsia="楷体_GB2312"/>
        <w:kern w:val="2"/>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jc w:val="left"/>
      <w:rPr>
        <w:rFonts w:eastAsia="楷体_GB231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nThickSmallGap" w:color="auto" w:sz="12" w:space="1"/>
      </w:pBdr>
      <w:spacing w:line="340" w:lineRule="atLeast"/>
      <w:ind w:left="0" w:leftChars="0" w:firstLine="0" w:firstLineChars="0"/>
      <w:jc w:val="both"/>
      <w:rPr>
        <w:rFonts w:hint="eastAsia" w:ascii="Times New Roman" w:eastAsia="仿宋"/>
        <w:sz w:val="18"/>
        <w:szCs w:val="20"/>
      </w:rPr>
    </w:pPr>
    <w:r>
      <w:rPr>
        <w:rFonts w:hint="eastAsia" w:ascii="Times New Roman" w:eastAsia="仿宋"/>
        <w:szCs w:val="20"/>
      </w:rPr>
      <w:t xml:space="preserve">中国证券登记结算有限责任公司 </w:t>
    </w:r>
    <w:r>
      <w:rPr>
        <w:rFonts w:hint="eastAsia"/>
      </w:rPr>
      <w:t xml:space="preserve"> </w:t>
    </w:r>
    <w:r>
      <w:t xml:space="preserve">   </w:t>
    </w:r>
    <w:r>
      <w:rPr>
        <w:rFonts w:hint="eastAsia"/>
        <w:lang w:val="en-US" w:eastAsia="zh-CN"/>
      </w:rPr>
      <w:t xml:space="preserve">       </w:t>
    </w:r>
    <w:r>
      <w:t xml:space="preserve"> </w:t>
    </w:r>
    <w:r>
      <w:rPr>
        <w:rFonts w:hint="eastAsia" w:ascii="Times New Roman" w:eastAsia="隶书"/>
        <w:sz w:val="24"/>
        <w:szCs w:val="20"/>
      </w:rPr>
      <w:t>工程技术</w:t>
    </w:r>
    <w:r>
      <w:rPr>
        <w:rFonts w:hint="eastAsia" w:ascii="Times New Roman" w:eastAsia="隶书"/>
        <w:sz w:val="24"/>
        <w:szCs w:val="20"/>
        <w:lang w:eastAsia="zh-CN"/>
      </w:rPr>
      <w:t>文档</w:t>
    </w:r>
    <w:r>
      <w:rPr>
        <w:rFonts w:hint="eastAsia"/>
        <w:sz w:val="32"/>
      </w:rPr>
      <w:t xml:space="preserve"> </w:t>
    </w:r>
    <w:r>
      <w:rPr>
        <w:rFonts w:hint="eastAsia"/>
        <w:sz w:val="21"/>
      </w:rPr>
      <w:t xml:space="preserve">         </w:t>
    </w:r>
    <w:r>
      <w:rPr>
        <w:rFonts w:hint="eastAsia"/>
        <w:sz w:val="21"/>
        <w:lang w:val="en-US" w:eastAsia="zh-CN"/>
      </w:rPr>
      <w:t xml:space="preserve">           </w:t>
    </w:r>
    <w:r>
      <w:rPr>
        <w:rFonts w:hint="eastAsia" w:ascii="Times New Roman" w:eastAsia="仿宋"/>
        <w:sz w:val="18"/>
        <w:szCs w:val="20"/>
      </w:rPr>
      <w:t>第</w:t>
    </w:r>
    <w:r>
      <w:rPr>
        <w:rFonts w:hint="eastAsia" w:ascii="Times New Roman" w:eastAsia="仿宋"/>
        <w:sz w:val="18"/>
        <w:szCs w:val="20"/>
      </w:rPr>
      <w:fldChar w:fldCharType="begin"/>
    </w:r>
    <w:r>
      <w:rPr>
        <w:rFonts w:hint="eastAsia" w:ascii="Times New Roman" w:eastAsia="仿宋"/>
        <w:sz w:val="18"/>
        <w:szCs w:val="20"/>
      </w:rPr>
      <w:instrText xml:space="preserve"> PAGE  \* MERGEFORMAT </w:instrText>
    </w:r>
    <w:r>
      <w:rPr>
        <w:rFonts w:hint="eastAsia" w:ascii="Times New Roman" w:eastAsia="仿宋"/>
        <w:sz w:val="18"/>
        <w:szCs w:val="20"/>
      </w:rPr>
      <w:fldChar w:fldCharType="separate"/>
    </w:r>
    <w:r>
      <w:rPr>
        <w:rFonts w:hint="eastAsia" w:ascii="Times New Roman" w:eastAsia="仿宋"/>
        <w:sz w:val="18"/>
        <w:szCs w:val="20"/>
      </w:rPr>
      <w:t>5</w:t>
    </w:r>
    <w:r>
      <w:rPr>
        <w:rFonts w:hint="eastAsia" w:ascii="Times New Roman" w:eastAsia="仿宋"/>
        <w:sz w:val="18"/>
        <w:szCs w:val="20"/>
      </w:rPr>
      <w:fldChar w:fldCharType="end"/>
    </w:r>
    <w:r>
      <w:rPr>
        <w:rStyle w:val="26"/>
        <w:rFonts w:hint="eastAsia" w:ascii="Times New Roman" w:eastAsia="仿宋"/>
        <w:szCs w:val="20"/>
      </w:rPr>
      <w:t>页   共</w:t>
    </w:r>
    <w:r>
      <w:rPr>
        <w:rStyle w:val="26"/>
        <w:rFonts w:hint="eastAsia" w:ascii="Times New Roman" w:eastAsia="仿宋"/>
        <w:sz w:val="18"/>
        <w:szCs w:val="20"/>
        <w:lang w:val="en-US" w:eastAsia="zh-CN"/>
      </w:rPr>
      <w:t>15</w:t>
    </w:r>
    <w:r>
      <w:rPr>
        <w:rStyle w:val="26"/>
        <w:rFonts w:hint="eastAsia" w:ascii="Times New Roman" w:eastAsia="仿宋"/>
        <w:szCs w:val="20"/>
      </w:rPr>
      <w:t>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DD9AE8"/>
    <w:multiLevelType w:val="singleLevel"/>
    <w:tmpl w:val="94DD9AE8"/>
    <w:lvl w:ilvl="0" w:tentative="0">
      <w:start w:val="1"/>
      <w:numFmt w:val="decimal"/>
      <w:suff w:val="space"/>
      <w:lvlText w:val="%1."/>
      <w:lvlJc w:val="left"/>
    </w:lvl>
  </w:abstractNum>
  <w:abstractNum w:abstractNumId="1">
    <w:nsid w:val="A7E6245C"/>
    <w:multiLevelType w:val="singleLevel"/>
    <w:tmpl w:val="A7E6245C"/>
    <w:lvl w:ilvl="0" w:tentative="0">
      <w:start w:val="1"/>
      <w:numFmt w:val="decimal"/>
      <w:lvlText w:val="%1."/>
      <w:lvlJc w:val="left"/>
      <w:pPr>
        <w:ind w:left="425" w:hanging="425"/>
      </w:pPr>
      <w:rPr>
        <w:rFonts w:hint="default"/>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1A7"/>
    <w:rsid w:val="00005BAD"/>
    <w:rsid w:val="000071BE"/>
    <w:rsid w:val="00010E22"/>
    <w:rsid w:val="0001176E"/>
    <w:rsid w:val="00011896"/>
    <w:rsid w:val="000133CA"/>
    <w:rsid w:val="0001657D"/>
    <w:rsid w:val="0002159F"/>
    <w:rsid w:val="00021F76"/>
    <w:rsid w:val="00022CAA"/>
    <w:rsid w:val="00022EB6"/>
    <w:rsid w:val="00023F6C"/>
    <w:rsid w:val="000324D8"/>
    <w:rsid w:val="00035F52"/>
    <w:rsid w:val="000368A4"/>
    <w:rsid w:val="00036910"/>
    <w:rsid w:val="000427B9"/>
    <w:rsid w:val="00043A1A"/>
    <w:rsid w:val="00051611"/>
    <w:rsid w:val="000554BD"/>
    <w:rsid w:val="0005588E"/>
    <w:rsid w:val="00070126"/>
    <w:rsid w:val="00071094"/>
    <w:rsid w:val="00071AD1"/>
    <w:rsid w:val="000732E4"/>
    <w:rsid w:val="000736D5"/>
    <w:rsid w:val="00073BA1"/>
    <w:rsid w:val="000754A5"/>
    <w:rsid w:val="00080594"/>
    <w:rsid w:val="000809EB"/>
    <w:rsid w:val="00084486"/>
    <w:rsid w:val="000852D2"/>
    <w:rsid w:val="0008723E"/>
    <w:rsid w:val="000903D3"/>
    <w:rsid w:val="000A0F5C"/>
    <w:rsid w:val="000A37EB"/>
    <w:rsid w:val="000A5E6E"/>
    <w:rsid w:val="000B19AB"/>
    <w:rsid w:val="000B76E2"/>
    <w:rsid w:val="000C0CB6"/>
    <w:rsid w:val="000C601D"/>
    <w:rsid w:val="000C615D"/>
    <w:rsid w:val="000D182C"/>
    <w:rsid w:val="000D4564"/>
    <w:rsid w:val="000D74F8"/>
    <w:rsid w:val="000E1A79"/>
    <w:rsid w:val="000E2A36"/>
    <w:rsid w:val="000E3F0E"/>
    <w:rsid w:val="000E6E0A"/>
    <w:rsid w:val="000F32F8"/>
    <w:rsid w:val="000F7225"/>
    <w:rsid w:val="000F757E"/>
    <w:rsid w:val="00103C2B"/>
    <w:rsid w:val="00105528"/>
    <w:rsid w:val="0011043B"/>
    <w:rsid w:val="001136D7"/>
    <w:rsid w:val="0011528E"/>
    <w:rsid w:val="001200EC"/>
    <w:rsid w:val="001213E4"/>
    <w:rsid w:val="001249D5"/>
    <w:rsid w:val="001255BB"/>
    <w:rsid w:val="0012668A"/>
    <w:rsid w:val="001267CE"/>
    <w:rsid w:val="00127F2F"/>
    <w:rsid w:val="001308BA"/>
    <w:rsid w:val="00130ED0"/>
    <w:rsid w:val="001340A3"/>
    <w:rsid w:val="00141732"/>
    <w:rsid w:val="0014260C"/>
    <w:rsid w:val="00143C13"/>
    <w:rsid w:val="00144FF4"/>
    <w:rsid w:val="00150B43"/>
    <w:rsid w:val="00150C79"/>
    <w:rsid w:val="00151590"/>
    <w:rsid w:val="00151D93"/>
    <w:rsid w:val="00151E0D"/>
    <w:rsid w:val="00153071"/>
    <w:rsid w:val="001541FC"/>
    <w:rsid w:val="00154AE7"/>
    <w:rsid w:val="001553BC"/>
    <w:rsid w:val="001572F8"/>
    <w:rsid w:val="00160974"/>
    <w:rsid w:val="00161448"/>
    <w:rsid w:val="00162247"/>
    <w:rsid w:val="00166F03"/>
    <w:rsid w:val="001726B3"/>
    <w:rsid w:val="00180BFE"/>
    <w:rsid w:val="001810D9"/>
    <w:rsid w:val="00185986"/>
    <w:rsid w:val="00187A9A"/>
    <w:rsid w:val="001918FB"/>
    <w:rsid w:val="001927DE"/>
    <w:rsid w:val="00192C73"/>
    <w:rsid w:val="001A1246"/>
    <w:rsid w:val="001B35CA"/>
    <w:rsid w:val="001B6F56"/>
    <w:rsid w:val="001C47CE"/>
    <w:rsid w:val="001D2440"/>
    <w:rsid w:val="001D3837"/>
    <w:rsid w:val="001D3B20"/>
    <w:rsid w:val="001D62F4"/>
    <w:rsid w:val="001D63FD"/>
    <w:rsid w:val="001E0A70"/>
    <w:rsid w:val="001E15C7"/>
    <w:rsid w:val="001E3020"/>
    <w:rsid w:val="001E30FF"/>
    <w:rsid w:val="001F314F"/>
    <w:rsid w:val="001F3E4E"/>
    <w:rsid w:val="001F422E"/>
    <w:rsid w:val="001F43A2"/>
    <w:rsid w:val="001F66A5"/>
    <w:rsid w:val="0020309C"/>
    <w:rsid w:val="0020431E"/>
    <w:rsid w:val="002045C7"/>
    <w:rsid w:val="00206460"/>
    <w:rsid w:val="0021667A"/>
    <w:rsid w:val="00216B8E"/>
    <w:rsid w:val="002240E3"/>
    <w:rsid w:val="00224FE8"/>
    <w:rsid w:val="002252AC"/>
    <w:rsid w:val="002265D5"/>
    <w:rsid w:val="00227CDF"/>
    <w:rsid w:val="002304FD"/>
    <w:rsid w:val="00241E37"/>
    <w:rsid w:val="00242308"/>
    <w:rsid w:val="00250C76"/>
    <w:rsid w:val="00256123"/>
    <w:rsid w:val="0025690F"/>
    <w:rsid w:val="00256BE6"/>
    <w:rsid w:val="00262704"/>
    <w:rsid w:val="002642E8"/>
    <w:rsid w:val="00271279"/>
    <w:rsid w:val="0027500F"/>
    <w:rsid w:val="00276ED5"/>
    <w:rsid w:val="00277088"/>
    <w:rsid w:val="00277D9B"/>
    <w:rsid w:val="002801A5"/>
    <w:rsid w:val="00281129"/>
    <w:rsid w:val="002867A4"/>
    <w:rsid w:val="002870DB"/>
    <w:rsid w:val="002902F7"/>
    <w:rsid w:val="002906E1"/>
    <w:rsid w:val="00291C7E"/>
    <w:rsid w:val="00296E25"/>
    <w:rsid w:val="002A6C91"/>
    <w:rsid w:val="002B0318"/>
    <w:rsid w:val="002B52F8"/>
    <w:rsid w:val="002B5A68"/>
    <w:rsid w:val="002B615D"/>
    <w:rsid w:val="002C164C"/>
    <w:rsid w:val="002C245B"/>
    <w:rsid w:val="002C4862"/>
    <w:rsid w:val="002D02F7"/>
    <w:rsid w:val="002D3768"/>
    <w:rsid w:val="002D5719"/>
    <w:rsid w:val="002D5983"/>
    <w:rsid w:val="002E788C"/>
    <w:rsid w:val="002E7B5C"/>
    <w:rsid w:val="002F1BFD"/>
    <w:rsid w:val="002F55F6"/>
    <w:rsid w:val="00301E59"/>
    <w:rsid w:val="00302E81"/>
    <w:rsid w:val="003074F3"/>
    <w:rsid w:val="00310396"/>
    <w:rsid w:val="00316155"/>
    <w:rsid w:val="00317E35"/>
    <w:rsid w:val="00321B4B"/>
    <w:rsid w:val="0032418D"/>
    <w:rsid w:val="0032624E"/>
    <w:rsid w:val="003328E0"/>
    <w:rsid w:val="0033383F"/>
    <w:rsid w:val="00334C9C"/>
    <w:rsid w:val="003430F5"/>
    <w:rsid w:val="003438F1"/>
    <w:rsid w:val="0034692A"/>
    <w:rsid w:val="00352BAA"/>
    <w:rsid w:val="00355D96"/>
    <w:rsid w:val="00356623"/>
    <w:rsid w:val="00356F49"/>
    <w:rsid w:val="00362DDC"/>
    <w:rsid w:val="003631B7"/>
    <w:rsid w:val="00365C6E"/>
    <w:rsid w:val="00366A78"/>
    <w:rsid w:val="00376CFB"/>
    <w:rsid w:val="00377378"/>
    <w:rsid w:val="0037744A"/>
    <w:rsid w:val="00381790"/>
    <w:rsid w:val="00381F4E"/>
    <w:rsid w:val="00383546"/>
    <w:rsid w:val="00383D74"/>
    <w:rsid w:val="00384C64"/>
    <w:rsid w:val="00385E4C"/>
    <w:rsid w:val="00390B19"/>
    <w:rsid w:val="00396557"/>
    <w:rsid w:val="00397192"/>
    <w:rsid w:val="00397628"/>
    <w:rsid w:val="003A0C27"/>
    <w:rsid w:val="003A1F83"/>
    <w:rsid w:val="003A20CB"/>
    <w:rsid w:val="003A3C29"/>
    <w:rsid w:val="003A6385"/>
    <w:rsid w:val="003A6D2C"/>
    <w:rsid w:val="003A73CA"/>
    <w:rsid w:val="003A7F18"/>
    <w:rsid w:val="003B6E66"/>
    <w:rsid w:val="003B7B57"/>
    <w:rsid w:val="003B7C61"/>
    <w:rsid w:val="003C43F4"/>
    <w:rsid w:val="003C6D89"/>
    <w:rsid w:val="003D062C"/>
    <w:rsid w:val="003D0C35"/>
    <w:rsid w:val="003D45DE"/>
    <w:rsid w:val="003D6E4C"/>
    <w:rsid w:val="003E1EBF"/>
    <w:rsid w:val="003E276F"/>
    <w:rsid w:val="003E2C65"/>
    <w:rsid w:val="003E7C3E"/>
    <w:rsid w:val="003F1500"/>
    <w:rsid w:val="003F34F8"/>
    <w:rsid w:val="003F41F0"/>
    <w:rsid w:val="003F4656"/>
    <w:rsid w:val="0040161D"/>
    <w:rsid w:val="004016F4"/>
    <w:rsid w:val="00403BD3"/>
    <w:rsid w:val="00407057"/>
    <w:rsid w:val="00412350"/>
    <w:rsid w:val="00414731"/>
    <w:rsid w:val="00416656"/>
    <w:rsid w:val="004210EF"/>
    <w:rsid w:val="00422BE7"/>
    <w:rsid w:val="004237CE"/>
    <w:rsid w:val="00425EDB"/>
    <w:rsid w:val="0042640F"/>
    <w:rsid w:val="0043024E"/>
    <w:rsid w:val="00430447"/>
    <w:rsid w:val="00432C78"/>
    <w:rsid w:val="00433BC5"/>
    <w:rsid w:val="004434CD"/>
    <w:rsid w:val="00445196"/>
    <w:rsid w:val="004507F1"/>
    <w:rsid w:val="00453478"/>
    <w:rsid w:val="0045416B"/>
    <w:rsid w:val="00456E72"/>
    <w:rsid w:val="00457360"/>
    <w:rsid w:val="004676C5"/>
    <w:rsid w:val="00467B03"/>
    <w:rsid w:val="0047052E"/>
    <w:rsid w:val="00470D4C"/>
    <w:rsid w:val="00471186"/>
    <w:rsid w:val="004740F7"/>
    <w:rsid w:val="00481080"/>
    <w:rsid w:val="0048150B"/>
    <w:rsid w:val="0048378F"/>
    <w:rsid w:val="00483EAD"/>
    <w:rsid w:val="00485A03"/>
    <w:rsid w:val="00486BA7"/>
    <w:rsid w:val="00491205"/>
    <w:rsid w:val="00493DA8"/>
    <w:rsid w:val="00493DB0"/>
    <w:rsid w:val="00497C45"/>
    <w:rsid w:val="004A090F"/>
    <w:rsid w:val="004A121D"/>
    <w:rsid w:val="004A3A44"/>
    <w:rsid w:val="004A7CD8"/>
    <w:rsid w:val="004B117A"/>
    <w:rsid w:val="004B16C1"/>
    <w:rsid w:val="004B1765"/>
    <w:rsid w:val="004B4B54"/>
    <w:rsid w:val="004B60AE"/>
    <w:rsid w:val="004C0144"/>
    <w:rsid w:val="004C1B73"/>
    <w:rsid w:val="004D1513"/>
    <w:rsid w:val="004D32FC"/>
    <w:rsid w:val="004E1817"/>
    <w:rsid w:val="004E2D2A"/>
    <w:rsid w:val="004E6751"/>
    <w:rsid w:val="004F5368"/>
    <w:rsid w:val="00502343"/>
    <w:rsid w:val="00502C25"/>
    <w:rsid w:val="00506FB5"/>
    <w:rsid w:val="005125C3"/>
    <w:rsid w:val="00513604"/>
    <w:rsid w:val="00513965"/>
    <w:rsid w:val="005245FE"/>
    <w:rsid w:val="00532336"/>
    <w:rsid w:val="00540D72"/>
    <w:rsid w:val="00544184"/>
    <w:rsid w:val="005442C5"/>
    <w:rsid w:val="00544636"/>
    <w:rsid w:val="005446EA"/>
    <w:rsid w:val="005450DA"/>
    <w:rsid w:val="005478C9"/>
    <w:rsid w:val="005529BE"/>
    <w:rsid w:val="00555D18"/>
    <w:rsid w:val="005560C7"/>
    <w:rsid w:val="00560175"/>
    <w:rsid w:val="00561194"/>
    <w:rsid w:val="0056184D"/>
    <w:rsid w:val="0056599F"/>
    <w:rsid w:val="00570B49"/>
    <w:rsid w:val="005741A1"/>
    <w:rsid w:val="00574939"/>
    <w:rsid w:val="00574EE0"/>
    <w:rsid w:val="00575519"/>
    <w:rsid w:val="00575BB4"/>
    <w:rsid w:val="005810DF"/>
    <w:rsid w:val="00584612"/>
    <w:rsid w:val="00590203"/>
    <w:rsid w:val="00591F39"/>
    <w:rsid w:val="005921F4"/>
    <w:rsid w:val="00595CB9"/>
    <w:rsid w:val="005A0E4E"/>
    <w:rsid w:val="005A3450"/>
    <w:rsid w:val="005A3D85"/>
    <w:rsid w:val="005A5107"/>
    <w:rsid w:val="005A7A0B"/>
    <w:rsid w:val="005B3160"/>
    <w:rsid w:val="005B4085"/>
    <w:rsid w:val="005B43CD"/>
    <w:rsid w:val="005B450D"/>
    <w:rsid w:val="005B498A"/>
    <w:rsid w:val="005B6F27"/>
    <w:rsid w:val="005B7D51"/>
    <w:rsid w:val="005C35B6"/>
    <w:rsid w:val="005C40D9"/>
    <w:rsid w:val="005C5909"/>
    <w:rsid w:val="005D3F1C"/>
    <w:rsid w:val="005D49AB"/>
    <w:rsid w:val="005D4D82"/>
    <w:rsid w:val="005D4FA3"/>
    <w:rsid w:val="005D5E69"/>
    <w:rsid w:val="005E214E"/>
    <w:rsid w:val="005E2E39"/>
    <w:rsid w:val="005E3626"/>
    <w:rsid w:val="005E586D"/>
    <w:rsid w:val="005E6434"/>
    <w:rsid w:val="005E70D2"/>
    <w:rsid w:val="005F0DF8"/>
    <w:rsid w:val="005F0F24"/>
    <w:rsid w:val="005F541C"/>
    <w:rsid w:val="005F5B81"/>
    <w:rsid w:val="005F61E2"/>
    <w:rsid w:val="005F7FE4"/>
    <w:rsid w:val="00603DF3"/>
    <w:rsid w:val="00605DC0"/>
    <w:rsid w:val="00606905"/>
    <w:rsid w:val="00620063"/>
    <w:rsid w:val="006220DE"/>
    <w:rsid w:val="0063176C"/>
    <w:rsid w:val="0063617C"/>
    <w:rsid w:val="006444F3"/>
    <w:rsid w:val="00654F8D"/>
    <w:rsid w:val="00661766"/>
    <w:rsid w:val="0067234D"/>
    <w:rsid w:val="0068042B"/>
    <w:rsid w:val="0068141F"/>
    <w:rsid w:val="006831E2"/>
    <w:rsid w:val="00685CA4"/>
    <w:rsid w:val="00690DB2"/>
    <w:rsid w:val="00690F25"/>
    <w:rsid w:val="00692EBF"/>
    <w:rsid w:val="006A201A"/>
    <w:rsid w:val="006A727F"/>
    <w:rsid w:val="006A758C"/>
    <w:rsid w:val="006B51C0"/>
    <w:rsid w:val="006C0A0C"/>
    <w:rsid w:val="006C0DC8"/>
    <w:rsid w:val="006C4BEE"/>
    <w:rsid w:val="006D02AA"/>
    <w:rsid w:val="006D4DFC"/>
    <w:rsid w:val="006D51D7"/>
    <w:rsid w:val="006D5F67"/>
    <w:rsid w:val="006D7167"/>
    <w:rsid w:val="006E17BB"/>
    <w:rsid w:val="006E24D2"/>
    <w:rsid w:val="006E397B"/>
    <w:rsid w:val="006E5C22"/>
    <w:rsid w:val="006E7FF6"/>
    <w:rsid w:val="006F50B5"/>
    <w:rsid w:val="00701215"/>
    <w:rsid w:val="00701695"/>
    <w:rsid w:val="00705698"/>
    <w:rsid w:val="00705968"/>
    <w:rsid w:val="0071061F"/>
    <w:rsid w:val="00712D8D"/>
    <w:rsid w:val="007130B0"/>
    <w:rsid w:val="00714F12"/>
    <w:rsid w:val="007201B0"/>
    <w:rsid w:val="00720946"/>
    <w:rsid w:val="00720948"/>
    <w:rsid w:val="00721BA8"/>
    <w:rsid w:val="007241B9"/>
    <w:rsid w:val="007309CE"/>
    <w:rsid w:val="007359AC"/>
    <w:rsid w:val="0074203C"/>
    <w:rsid w:val="0074415C"/>
    <w:rsid w:val="00744A5B"/>
    <w:rsid w:val="00745597"/>
    <w:rsid w:val="007456B6"/>
    <w:rsid w:val="00745733"/>
    <w:rsid w:val="00745D26"/>
    <w:rsid w:val="007529E0"/>
    <w:rsid w:val="00752A9D"/>
    <w:rsid w:val="007562A4"/>
    <w:rsid w:val="007604C5"/>
    <w:rsid w:val="00764EAD"/>
    <w:rsid w:val="00771643"/>
    <w:rsid w:val="00772A57"/>
    <w:rsid w:val="00776DB5"/>
    <w:rsid w:val="007773C9"/>
    <w:rsid w:val="00777E4E"/>
    <w:rsid w:val="007843F9"/>
    <w:rsid w:val="0078501C"/>
    <w:rsid w:val="00785959"/>
    <w:rsid w:val="00787184"/>
    <w:rsid w:val="00787C40"/>
    <w:rsid w:val="007915B4"/>
    <w:rsid w:val="007919AF"/>
    <w:rsid w:val="00792AEE"/>
    <w:rsid w:val="007976F6"/>
    <w:rsid w:val="007A3A42"/>
    <w:rsid w:val="007A4E44"/>
    <w:rsid w:val="007B04E8"/>
    <w:rsid w:val="007B17DA"/>
    <w:rsid w:val="007B3710"/>
    <w:rsid w:val="007B6138"/>
    <w:rsid w:val="007C2D5A"/>
    <w:rsid w:val="007C2D65"/>
    <w:rsid w:val="007C4862"/>
    <w:rsid w:val="007C70B8"/>
    <w:rsid w:val="007D5FA2"/>
    <w:rsid w:val="007D7E68"/>
    <w:rsid w:val="007E21A7"/>
    <w:rsid w:val="007E3901"/>
    <w:rsid w:val="007E3CD7"/>
    <w:rsid w:val="007E4466"/>
    <w:rsid w:val="007E53D7"/>
    <w:rsid w:val="007E58CE"/>
    <w:rsid w:val="007F2374"/>
    <w:rsid w:val="007F63B1"/>
    <w:rsid w:val="00800274"/>
    <w:rsid w:val="00810B56"/>
    <w:rsid w:val="008127FA"/>
    <w:rsid w:val="0081370E"/>
    <w:rsid w:val="008219A0"/>
    <w:rsid w:val="00830B39"/>
    <w:rsid w:val="00830D88"/>
    <w:rsid w:val="00833FE7"/>
    <w:rsid w:val="00834E72"/>
    <w:rsid w:val="008379A5"/>
    <w:rsid w:val="00843441"/>
    <w:rsid w:val="00846713"/>
    <w:rsid w:val="00847832"/>
    <w:rsid w:val="0085063C"/>
    <w:rsid w:val="008526E3"/>
    <w:rsid w:val="00853908"/>
    <w:rsid w:val="00864920"/>
    <w:rsid w:val="00871D1E"/>
    <w:rsid w:val="008735F6"/>
    <w:rsid w:val="00873D36"/>
    <w:rsid w:val="00875312"/>
    <w:rsid w:val="0088047E"/>
    <w:rsid w:val="00881E82"/>
    <w:rsid w:val="00882DE1"/>
    <w:rsid w:val="00886F3E"/>
    <w:rsid w:val="008941A7"/>
    <w:rsid w:val="00894612"/>
    <w:rsid w:val="008A06BF"/>
    <w:rsid w:val="008A172C"/>
    <w:rsid w:val="008A2D89"/>
    <w:rsid w:val="008B06BB"/>
    <w:rsid w:val="008B06CF"/>
    <w:rsid w:val="008B623D"/>
    <w:rsid w:val="008B6B17"/>
    <w:rsid w:val="008C216B"/>
    <w:rsid w:val="008C22A0"/>
    <w:rsid w:val="008D128D"/>
    <w:rsid w:val="008D2AF2"/>
    <w:rsid w:val="008D3457"/>
    <w:rsid w:val="008D39D8"/>
    <w:rsid w:val="008D5271"/>
    <w:rsid w:val="008D71F0"/>
    <w:rsid w:val="008E2FDD"/>
    <w:rsid w:val="008E420C"/>
    <w:rsid w:val="008E679E"/>
    <w:rsid w:val="008E7A5A"/>
    <w:rsid w:val="008F21C7"/>
    <w:rsid w:val="008F4CCC"/>
    <w:rsid w:val="008F5FEA"/>
    <w:rsid w:val="008F7FA0"/>
    <w:rsid w:val="00900C71"/>
    <w:rsid w:val="009024B1"/>
    <w:rsid w:val="00905587"/>
    <w:rsid w:val="009107DC"/>
    <w:rsid w:val="00911F1A"/>
    <w:rsid w:val="00912B3F"/>
    <w:rsid w:val="009168EA"/>
    <w:rsid w:val="0091768C"/>
    <w:rsid w:val="00920A4E"/>
    <w:rsid w:val="00921BB3"/>
    <w:rsid w:val="009302C8"/>
    <w:rsid w:val="00933744"/>
    <w:rsid w:val="00935E1D"/>
    <w:rsid w:val="00941DEA"/>
    <w:rsid w:val="00942FD4"/>
    <w:rsid w:val="00944B6F"/>
    <w:rsid w:val="009477C3"/>
    <w:rsid w:val="00950B6D"/>
    <w:rsid w:val="009533CC"/>
    <w:rsid w:val="00953C5D"/>
    <w:rsid w:val="009569CD"/>
    <w:rsid w:val="009574F2"/>
    <w:rsid w:val="00957F8E"/>
    <w:rsid w:val="009613D4"/>
    <w:rsid w:val="00964B5A"/>
    <w:rsid w:val="00970C09"/>
    <w:rsid w:val="009730F1"/>
    <w:rsid w:val="00973965"/>
    <w:rsid w:val="00977484"/>
    <w:rsid w:val="009834B5"/>
    <w:rsid w:val="00983ABD"/>
    <w:rsid w:val="0098588C"/>
    <w:rsid w:val="0098663A"/>
    <w:rsid w:val="00986973"/>
    <w:rsid w:val="0099461D"/>
    <w:rsid w:val="00995E4B"/>
    <w:rsid w:val="009962F3"/>
    <w:rsid w:val="0099638A"/>
    <w:rsid w:val="009A1551"/>
    <w:rsid w:val="009A493D"/>
    <w:rsid w:val="009A5C90"/>
    <w:rsid w:val="009B1307"/>
    <w:rsid w:val="009B3672"/>
    <w:rsid w:val="009B3B96"/>
    <w:rsid w:val="009B5C50"/>
    <w:rsid w:val="009B786D"/>
    <w:rsid w:val="009B7B99"/>
    <w:rsid w:val="009B7E1B"/>
    <w:rsid w:val="009C07DF"/>
    <w:rsid w:val="009C31A0"/>
    <w:rsid w:val="009D1380"/>
    <w:rsid w:val="009D3E34"/>
    <w:rsid w:val="009D4F3F"/>
    <w:rsid w:val="009E0DEF"/>
    <w:rsid w:val="009E3318"/>
    <w:rsid w:val="009E6FA3"/>
    <w:rsid w:val="009E7B47"/>
    <w:rsid w:val="009F079B"/>
    <w:rsid w:val="009F1626"/>
    <w:rsid w:val="009F1BA9"/>
    <w:rsid w:val="009F1C75"/>
    <w:rsid w:val="009F5FF7"/>
    <w:rsid w:val="009F6A62"/>
    <w:rsid w:val="00A03BEC"/>
    <w:rsid w:val="00A07012"/>
    <w:rsid w:val="00A07C71"/>
    <w:rsid w:val="00A07EF7"/>
    <w:rsid w:val="00A10F36"/>
    <w:rsid w:val="00A12819"/>
    <w:rsid w:val="00A130FF"/>
    <w:rsid w:val="00A15445"/>
    <w:rsid w:val="00A212C5"/>
    <w:rsid w:val="00A37037"/>
    <w:rsid w:val="00A412C4"/>
    <w:rsid w:val="00A44DE4"/>
    <w:rsid w:val="00A5241C"/>
    <w:rsid w:val="00A530E5"/>
    <w:rsid w:val="00A531BF"/>
    <w:rsid w:val="00A5353C"/>
    <w:rsid w:val="00A54A63"/>
    <w:rsid w:val="00A553D5"/>
    <w:rsid w:val="00A57B38"/>
    <w:rsid w:val="00A617F2"/>
    <w:rsid w:val="00A62B70"/>
    <w:rsid w:val="00A63857"/>
    <w:rsid w:val="00A63CE8"/>
    <w:rsid w:val="00A73251"/>
    <w:rsid w:val="00A81021"/>
    <w:rsid w:val="00A81BA6"/>
    <w:rsid w:val="00A85A02"/>
    <w:rsid w:val="00A861D7"/>
    <w:rsid w:val="00A91D8B"/>
    <w:rsid w:val="00A9210E"/>
    <w:rsid w:val="00A928AE"/>
    <w:rsid w:val="00A9346F"/>
    <w:rsid w:val="00A95099"/>
    <w:rsid w:val="00A972E9"/>
    <w:rsid w:val="00AA2BC6"/>
    <w:rsid w:val="00AA61D8"/>
    <w:rsid w:val="00AA6888"/>
    <w:rsid w:val="00AA7C7A"/>
    <w:rsid w:val="00AB4B17"/>
    <w:rsid w:val="00AB6153"/>
    <w:rsid w:val="00AC2835"/>
    <w:rsid w:val="00AC5E05"/>
    <w:rsid w:val="00AD085A"/>
    <w:rsid w:val="00AD53EE"/>
    <w:rsid w:val="00AE15F1"/>
    <w:rsid w:val="00AE74ED"/>
    <w:rsid w:val="00AF1554"/>
    <w:rsid w:val="00B02170"/>
    <w:rsid w:val="00B1405F"/>
    <w:rsid w:val="00B2023D"/>
    <w:rsid w:val="00B21DAD"/>
    <w:rsid w:val="00B254AF"/>
    <w:rsid w:val="00B260BD"/>
    <w:rsid w:val="00B30582"/>
    <w:rsid w:val="00B34ED9"/>
    <w:rsid w:val="00B357F4"/>
    <w:rsid w:val="00B4081C"/>
    <w:rsid w:val="00B4186B"/>
    <w:rsid w:val="00B5567B"/>
    <w:rsid w:val="00B7082A"/>
    <w:rsid w:val="00B70CA0"/>
    <w:rsid w:val="00B731D0"/>
    <w:rsid w:val="00B749D7"/>
    <w:rsid w:val="00B76E66"/>
    <w:rsid w:val="00B773D9"/>
    <w:rsid w:val="00B86A9D"/>
    <w:rsid w:val="00B92ACC"/>
    <w:rsid w:val="00B92E66"/>
    <w:rsid w:val="00BA032D"/>
    <w:rsid w:val="00BA3236"/>
    <w:rsid w:val="00BA53EF"/>
    <w:rsid w:val="00BA5C5B"/>
    <w:rsid w:val="00BA65EF"/>
    <w:rsid w:val="00BB6D5E"/>
    <w:rsid w:val="00BB6E6A"/>
    <w:rsid w:val="00BC0225"/>
    <w:rsid w:val="00BC0C49"/>
    <w:rsid w:val="00BC20B1"/>
    <w:rsid w:val="00BC2A7C"/>
    <w:rsid w:val="00BC4C58"/>
    <w:rsid w:val="00BC5513"/>
    <w:rsid w:val="00BC62D8"/>
    <w:rsid w:val="00BD4087"/>
    <w:rsid w:val="00BD48AE"/>
    <w:rsid w:val="00BD64F0"/>
    <w:rsid w:val="00BD7784"/>
    <w:rsid w:val="00BD7F1A"/>
    <w:rsid w:val="00BE0801"/>
    <w:rsid w:val="00BE081E"/>
    <w:rsid w:val="00BE53B5"/>
    <w:rsid w:val="00BE7531"/>
    <w:rsid w:val="00BE7C94"/>
    <w:rsid w:val="00BF005D"/>
    <w:rsid w:val="00BF12BC"/>
    <w:rsid w:val="00BF2758"/>
    <w:rsid w:val="00BF3E2C"/>
    <w:rsid w:val="00BF6FF5"/>
    <w:rsid w:val="00BF70DB"/>
    <w:rsid w:val="00C10D95"/>
    <w:rsid w:val="00C23182"/>
    <w:rsid w:val="00C2351B"/>
    <w:rsid w:val="00C2448D"/>
    <w:rsid w:val="00C2637B"/>
    <w:rsid w:val="00C31BCF"/>
    <w:rsid w:val="00C35260"/>
    <w:rsid w:val="00C43C6F"/>
    <w:rsid w:val="00C503EE"/>
    <w:rsid w:val="00C51506"/>
    <w:rsid w:val="00C5153D"/>
    <w:rsid w:val="00C57C35"/>
    <w:rsid w:val="00C6277B"/>
    <w:rsid w:val="00C63992"/>
    <w:rsid w:val="00C63F8E"/>
    <w:rsid w:val="00C702BB"/>
    <w:rsid w:val="00C80768"/>
    <w:rsid w:val="00C81C4A"/>
    <w:rsid w:val="00C84F19"/>
    <w:rsid w:val="00C86EF4"/>
    <w:rsid w:val="00C87BC7"/>
    <w:rsid w:val="00C95620"/>
    <w:rsid w:val="00C9661C"/>
    <w:rsid w:val="00C96BEB"/>
    <w:rsid w:val="00C9763E"/>
    <w:rsid w:val="00C976FF"/>
    <w:rsid w:val="00CA0C12"/>
    <w:rsid w:val="00CA2025"/>
    <w:rsid w:val="00CA368F"/>
    <w:rsid w:val="00CA6A60"/>
    <w:rsid w:val="00CA79F5"/>
    <w:rsid w:val="00CB066D"/>
    <w:rsid w:val="00CB1B47"/>
    <w:rsid w:val="00CB5023"/>
    <w:rsid w:val="00CC0080"/>
    <w:rsid w:val="00CC2DB6"/>
    <w:rsid w:val="00CC3057"/>
    <w:rsid w:val="00CC61AA"/>
    <w:rsid w:val="00CC7810"/>
    <w:rsid w:val="00CD02D2"/>
    <w:rsid w:val="00CD2500"/>
    <w:rsid w:val="00CD39BF"/>
    <w:rsid w:val="00CD4B0F"/>
    <w:rsid w:val="00CD5194"/>
    <w:rsid w:val="00CD6038"/>
    <w:rsid w:val="00CD6D63"/>
    <w:rsid w:val="00CD6F2C"/>
    <w:rsid w:val="00CE58B2"/>
    <w:rsid w:val="00CE6DA7"/>
    <w:rsid w:val="00CF1C48"/>
    <w:rsid w:val="00CF31F0"/>
    <w:rsid w:val="00CF405D"/>
    <w:rsid w:val="00CF4A46"/>
    <w:rsid w:val="00CF4F52"/>
    <w:rsid w:val="00CF53BA"/>
    <w:rsid w:val="00D00ADA"/>
    <w:rsid w:val="00D01FE8"/>
    <w:rsid w:val="00D04809"/>
    <w:rsid w:val="00D07F25"/>
    <w:rsid w:val="00D1056B"/>
    <w:rsid w:val="00D16AA4"/>
    <w:rsid w:val="00D178E3"/>
    <w:rsid w:val="00D20113"/>
    <w:rsid w:val="00D21DD5"/>
    <w:rsid w:val="00D23F4B"/>
    <w:rsid w:val="00D24C60"/>
    <w:rsid w:val="00D254CD"/>
    <w:rsid w:val="00D25601"/>
    <w:rsid w:val="00D27B8F"/>
    <w:rsid w:val="00D30AC3"/>
    <w:rsid w:val="00D338FE"/>
    <w:rsid w:val="00D36B22"/>
    <w:rsid w:val="00D45708"/>
    <w:rsid w:val="00D54CB1"/>
    <w:rsid w:val="00D55111"/>
    <w:rsid w:val="00D60464"/>
    <w:rsid w:val="00D60663"/>
    <w:rsid w:val="00D61BBE"/>
    <w:rsid w:val="00D64788"/>
    <w:rsid w:val="00D64C8E"/>
    <w:rsid w:val="00D67D03"/>
    <w:rsid w:val="00D732CA"/>
    <w:rsid w:val="00D74CE2"/>
    <w:rsid w:val="00D755DE"/>
    <w:rsid w:val="00D76E7D"/>
    <w:rsid w:val="00D86FB3"/>
    <w:rsid w:val="00D9179C"/>
    <w:rsid w:val="00D91867"/>
    <w:rsid w:val="00D95BAE"/>
    <w:rsid w:val="00D961B5"/>
    <w:rsid w:val="00D96716"/>
    <w:rsid w:val="00DA3467"/>
    <w:rsid w:val="00DA5A4A"/>
    <w:rsid w:val="00DA5CC3"/>
    <w:rsid w:val="00DA64DD"/>
    <w:rsid w:val="00DA7BC4"/>
    <w:rsid w:val="00DB48EB"/>
    <w:rsid w:val="00DC02F6"/>
    <w:rsid w:val="00DC1AC4"/>
    <w:rsid w:val="00DD05EF"/>
    <w:rsid w:val="00DD403A"/>
    <w:rsid w:val="00DE051A"/>
    <w:rsid w:val="00DE2684"/>
    <w:rsid w:val="00DE3103"/>
    <w:rsid w:val="00DE3F85"/>
    <w:rsid w:val="00DF1436"/>
    <w:rsid w:val="00DF2101"/>
    <w:rsid w:val="00DF5884"/>
    <w:rsid w:val="00DF5FA9"/>
    <w:rsid w:val="00E0002E"/>
    <w:rsid w:val="00E0045A"/>
    <w:rsid w:val="00E020F3"/>
    <w:rsid w:val="00E07565"/>
    <w:rsid w:val="00E1111C"/>
    <w:rsid w:val="00E14295"/>
    <w:rsid w:val="00E14994"/>
    <w:rsid w:val="00E167A9"/>
    <w:rsid w:val="00E16C5C"/>
    <w:rsid w:val="00E31C4E"/>
    <w:rsid w:val="00E417C9"/>
    <w:rsid w:val="00E52B9C"/>
    <w:rsid w:val="00E53BFE"/>
    <w:rsid w:val="00E56F7E"/>
    <w:rsid w:val="00E57E26"/>
    <w:rsid w:val="00E6076B"/>
    <w:rsid w:val="00E62497"/>
    <w:rsid w:val="00E62B20"/>
    <w:rsid w:val="00E74B68"/>
    <w:rsid w:val="00E77F14"/>
    <w:rsid w:val="00E8269A"/>
    <w:rsid w:val="00E83440"/>
    <w:rsid w:val="00E84C23"/>
    <w:rsid w:val="00E854AB"/>
    <w:rsid w:val="00E86D21"/>
    <w:rsid w:val="00E8769A"/>
    <w:rsid w:val="00E9061F"/>
    <w:rsid w:val="00E92F11"/>
    <w:rsid w:val="00E94946"/>
    <w:rsid w:val="00E95893"/>
    <w:rsid w:val="00E9599A"/>
    <w:rsid w:val="00E96A1D"/>
    <w:rsid w:val="00E96CB5"/>
    <w:rsid w:val="00E97362"/>
    <w:rsid w:val="00EA123E"/>
    <w:rsid w:val="00EA3E49"/>
    <w:rsid w:val="00EA49B1"/>
    <w:rsid w:val="00EA624E"/>
    <w:rsid w:val="00EA69FA"/>
    <w:rsid w:val="00EB4715"/>
    <w:rsid w:val="00EB74B4"/>
    <w:rsid w:val="00EC2E25"/>
    <w:rsid w:val="00EC61D0"/>
    <w:rsid w:val="00EC6484"/>
    <w:rsid w:val="00EC6AA3"/>
    <w:rsid w:val="00ED0EA3"/>
    <w:rsid w:val="00ED1B93"/>
    <w:rsid w:val="00ED402D"/>
    <w:rsid w:val="00ED5493"/>
    <w:rsid w:val="00ED77BE"/>
    <w:rsid w:val="00EE50CF"/>
    <w:rsid w:val="00EF1248"/>
    <w:rsid w:val="00EF1793"/>
    <w:rsid w:val="00EF1C5C"/>
    <w:rsid w:val="00F067C7"/>
    <w:rsid w:val="00F12514"/>
    <w:rsid w:val="00F17C60"/>
    <w:rsid w:val="00F21C69"/>
    <w:rsid w:val="00F22E38"/>
    <w:rsid w:val="00F23228"/>
    <w:rsid w:val="00F24B8B"/>
    <w:rsid w:val="00F263CF"/>
    <w:rsid w:val="00F300A8"/>
    <w:rsid w:val="00F3218D"/>
    <w:rsid w:val="00F3255D"/>
    <w:rsid w:val="00F345EC"/>
    <w:rsid w:val="00F37678"/>
    <w:rsid w:val="00F427EB"/>
    <w:rsid w:val="00F439C0"/>
    <w:rsid w:val="00F44315"/>
    <w:rsid w:val="00F47C90"/>
    <w:rsid w:val="00F51DB0"/>
    <w:rsid w:val="00F57B6B"/>
    <w:rsid w:val="00F665AE"/>
    <w:rsid w:val="00F71AE0"/>
    <w:rsid w:val="00F82712"/>
    <w:rsid w:val="00F840D9"/>
    <w:rsid w:val="00F85CD3"/>
    <w:rsid w:val="00F86658"/>
    <w:rsid w:val="00F87683"/>
    <w:rsid w:val="00F923BB"/>
    <w:rsid w:val="00F953AB"/>
    <w:rsid w:val="00FA2CA7"/>
    <w:rsid w:val="00FA33B7"/>
    <w:rsid w:val="00FA5374"/>
    <w:rsid w:val="00FB00EE"/>
    <w:rsid w:val="00FB0248"/>
    <w:rsid w:val="00FB0E7D"/>
    <w:rsid w:val="00FB0E87"/>
    <w:rsid w:val="00FC0695"/>
    <w:rsid w:val="00FC09E0"/>
    <w:rsid w:val="00FC462A"/>
    <w:rsid w:val="00FC55C7"/>
    <w:rsid w:val="00FD1139"/>
    <w:rsid w:val="00FD4D02"/>
    <w:rsid w:val="00FD4F77"/>
    <w:rsid w:val="00FD72F1"/>
    <w:rsid w:val="00FF0575"/>
    <w:rsid w:val="00FF2137"/>
    <w:rsid w:val="00FF53DC"/>
    <w:rsid w:val="0100330C"/>
    <w:rsid w:val="010A1234"/>
    <w:rsid w:val="01322F5C"/>
    <w:rsid w:val="016C7C15"/>
    <w:rsid w:val="017C2FF0"/>
    <w:rsid w:val="017C3E3C"/>
    <w:rsid w:val="018658A8"/>
    <w:rsid w:val="01925E6A"/>
    <w:rsid w:val="01994146"/>
    <w:rsid w:val="01A45576"/>
    <w:rsid w:val="028F23E1"/>
    <w:rsid w:val="029A4F29"/>
    <w:rsid w:val="02B81521"/>
    <w:rsid w:val="02F662C6"/>
    <w:rsid w:val="030E5B44"/>
    <w:rsid w:val="031F3125"/>
    <w:rsid w:val="034925EB"/>
    <w:rsid w:val="036436EE"/>
    <w:rsid w:val="036B7181"/>
    <w:rsid w:val="0385532F"/>
    <w:rsid w:val="039E3121"/>
    <w:rsid w:val="03A4159F"/>
    <w:rsid w:val="03C552C7"/>
    <w:rsid w:val="03C81860"/>
    <w:rsid w:val="03EA5A04"/>
    <w:rsid w:val="03F43FB5"/>
    <w:rsid w:val="0405518D"/>
    <w:rsid w:val="041F3B19"/>
    <w:rsid w:val="04EA30A5"/>
    <w:rsid w:val="053075D0"/>
    <w:rsid w:val="053B0CBD"/>
    <w:rsid w:val="05405B34"/>
    <w:rsid w:val="058625F8"/>
    <w:rsid w:val="059A3B9E"/>
    <w:rsid w:val="05A77E00"/>
    <w:rsid w:val="05D4314B"/>
    <w:rsid w:val="05EB58ED"/>
    <w:rsid w:val="0615112B"/>
    <w:rsid w:val="062511B9"/>
    <w:rsid w:val="062C745D"/>
    <w:rsid w:val="06364256"/>
    <w:rsid w:val="0637002F"/>
    <w:rsid w:val="06640854"/>
    <w:rsid w:val="06815330"/>
    <w:rsid w:val="06AE288D"/>
    <w:rsid w:val="06C54FE0"/>
    <w:rsid w:val="06DE77AB"/>
    <w:rsid w:val="06F822DE"/>
    <w:rsid w:val="06FB511E"/>
    <w:rsid w:val="07140930"/>
    <w:rsid w:val="07207280"/>
    <w:rsid w:val="07534CB2"/>
    <w:rsid w:val="076473E7"/>
    <w:rsid w:val="076C5F11"/>
    <w:rsid w:val="07742C2C"/>
    <w:rsid w:val="07796687"/>
    <w:rsid w:val="07C73A53"/>
    <w:rsid w:val="08396247"/>
    <w:rsid w:val="083C6F1E"/>
    <w:rsid w:val="08990663"/>
    <w:rsid w:val="08D01532"/>
    <w:rsid w:val="09154AC7"/>
    <w:rsid w:val="096B0455"/>
    <w:rsid w:val="096C355E"/>
    <w:rsid w:val="09780AA4"/>
    <w:rsid w:val="09A5675D"/>
    <w:rsid w:val="09AC43D8"/>
    <w:rsid w:val="09AF72F2"/>
    <w:rsid w:val="09CD0BA6"/>
    <w:rsid w:val="09EC7B5B"/>
    <w:rsid w:val="09F62B95"/>
    <w:rsid w:val="0A231DF3"/>
    <w:rsid w:val="0AFF68DA"/>
    <w:rsid w:val="0B0F2A24"/>
    <w:rsid w:val="0B2172D1"/>
    <w:rsid w:val="0B2D14CE"/>
    <w:rsid w:val="0B4F6DFF"/>
    <w:rsid w:val="0B5512D9"/>
    <w:rsid w:val="0B6A017A"/>
    <w:rsid w:val="0B85429E"/>
    <w:rsid w:val="0BC347A9"/>
    <w:rsid w:val="0BCF6BF7"/>
    <w:rsid w:val="0C8266BD"/>
    <w:rsid w:val="0C98126B"/>
    <w:rsid w:val="0CBB09CA"/>
    <w:rsid w:val="0D586E6C"/>
    <w:rsid w:val="0D6B44B6"/>
    <w:rsid w:val="0D76102E"/>
    <w:rsid w:val="0DAA0EDB"/>
    <w:rsid w:val="0DB9116F"/>
    <w:rsid w:val="0DCC72AE"/>
    <w:rsid w:val="0DF46C8A"/>
    <w:rsid w:val="0E0A1FF6"/>
    <w:rsid w:val="0E350826"/>
    <w:rsid w:val="0E485B0D"/>
    <w:rsid w:val="0E630DCB"/>
    <w:rsid w:val="0EA46311"/>
    <w:rsid w:val="0EBC4F59"/>
    <w:rsid w:val="0F1F1486"/>
    <w:rsid w:val="0F2A04B3"/>
    <w:rsid w:val="0F2E4811"/>
    <w:rsid w:val="0F466B0D"/>
    <w:rsid w:val="0F777ADF"/>
    <w:rsid w:val="0FB62C50"/>
    <w:rsid w:val="0FEA7CEF"/>
    <w:rsid w:val="0FEB0762"/>
    <w:rsid w:val="100E0D7A"/>
    <w:rsid w:val="10117F36"/>
    <w:rsid w:val="102A358B"/>
    <w:rsid w:val="10372F53"/>
    <w:rsid w:val="105F48DA"/>
    <w:rsid w:val="10620D22"/>
    <w:rsid w:val="107C1CE7"/>
    <w:rsid w:val="108F4D1C"/>
    <w:rsid w:val="10B970D4"/>
    <w:rsid w:val="115D338E"/>
    <w:rsid w:val="11654AFC"/>
    <w:rsid w:val="11736F96"/>
    <w:rsid w:val="117D3BF4"/>
    <w:rsid w:val="119A2A11"/>
    <w:rsid w:val="11A1548D"/>
    <w:rsid w:val="11B12786"/>
    <w:rsid w:val="11B12F3F"/>
    <w:rsid w:val="11C45CF3"/>
    <w:rsid w:val="11E81365"/>
    <w:rsid w:val="11F23E68"/>
    <w:rsid w:val="11FD63A5"/>
    <w:rsid w:val="122A3C19"/>
    <w:rsid w:val="122C2E17"/>
    <w:rsid w:val="124E1079"/>
    <w:rsid w:val="12627EF5"/>
    <w:rsid w:val="126B01D6"/>
    <w:rsid w:val="12812D5F"/>
    <w:rsid w:val="128C049D"/>
    <w:rsid w:val="12C34F99"/>
    <w:rsid w:val="12D47851"/>
    <w:rsid w:val="12EA2D6C"/>
    <w:rsid w:val="12F82159"/>
    <w:rsid w:val="136C7847"/>
    <w:rsid w:val="13C2082A"/>
    <w:rsid w:val="13CD75D1"/>
    <w:rsid w:val="14023B23"/>
    <w:rsid w:val="145700F9"/>
    <w:rsid w:val="14747B9F"/>
    <w:rsid w:val="148F213D"/>
    <w:rsid w:val="14D07897"/>
    <w:rsid w:val="14D16422"/>
    <w:rsid w:val="14D85EFE"/>
    <w:rsid w:val="14EE2F04"/>
    <w:rsid w:val="14F73E7B"/>
    <w:rsid w:val="14FB0E8E"/>
    <w:rsid w:val="150B024D"/>
    <w:rsid w:val="15517D68"/>
    <w:rsid w:val="15650DC9"/>
    <w:rsid w:val="156550A0"/>
    <w:rsid w:val="158706CB"/>
    <w:rsid w:val="1593641E"/>
    <w:rsid w:val="15A61F56"/>
    <w:rsid w:val="15CB701A"/>
    <w:rsid w:val="15EF0215"/>
    <w:rsid w:val="16555F61"/>
    <w:rsid w:val="16714263"/>
    <w:rsid w:val="167A7696"/>
    <w:rsid w:val="16A37D3D"/>
    <w:rsid w:val="16A57A87"/>
    <w:rsid w:val="16B95F8D"/>
    <w:rsid w:val="16D32F97"/>
    <w:rsid w:val="16DE52AD"/>
    <w:rsid w:val="16EC1AB8"/>
    <w:rsid w:val="170215B0"/>
    <w:rsid w:val="17181E7B"/>
    <w:rsid w:val="177471EE"/>
    <w:rsid w:val="17756913"/>
    <w:rsid w:val="1786038D"/>
    <w:rsid w:val="179675A2"/>
    <w:rsid w:val="17DA0CF5"/>
    <w:rsid w:val="182C04F7"/>
    <w:rsid w:val="184109D1"/>
    <w:rsid w:val="184309B2"/>
    <w:rsid w:val="188C0D30"/>
    <w:rsid w:val="18970CDF"/>
    <w:rsid w:val="18C0377F"/>
    <w:rsid w:val="18CF3C50"/>
    <w:rsid w:val="190672DA"/>
    <w:rsid w:val="1911308B"/>
    <w:rsid w:val="1926585D"/>
    <w:rsid w:val="1932295A"/>
    <w:rsid w:val="19390E66"/>
    <w:rsid w:val="19C97403"/>
    <w:rsid w:val="19E13780"/>
    <w:rsid w:val="1A3B400D"/>
    <w:rsid w:val="1A407F92"/>
    <w:rsid w:val="1A4D61EE"/>
    <w:rsid w:val="1A845B91"/>
    <w:rsid w:val="1AC26B80"/>
    <w:rsid w:val="1AD86928"/>
    <w:rsid w:val="1AFF4A34"/>
    <w:rsid w:val="1B2C419D"/>
    <w:rsid w:val="1B2D73B1"/>
    <w:rsid w:val="1B415E4E"/>
    <w:rsid w:val="1B767C42"/>
    <w:rsid w:val="1B77034B"/>
    <w:rsid w:val="1B8A3B85"/>
    <w:rsid w:val="1B8D6E13"/>
    <w:rsid w:val="1BD42FE9"/>
    <w:rsid w:val="1BE76F10"/>
    <w:rsid w:val="1BF22323"/>
    <w:rsid w:val="1BFF67AE"/>
    <w:rsid w:val="1C2461A6"/>
    <w:rsid w:val="1C7E2BF5"/>
    <w:rsid w:val="1CC3794D"/>
    <w:rsid w:val="1CD753AD"/>
    <w:rsid w:val="1CD94C6A"/>
    <w:rsid w:val="1CD959FE"/>
    <w:rsid w:val="1D1E6BFF"/>
    <w:rsid w:val="1D9B5678"/>
    <w:rsid w:val="1DAC5233"/>
    <w:rsid w:val="1DD669CA"/>
    <w:rsid w:val="1E1144D1"/>
    <w:rsid w:val="1E637F7E"/>
    <w:rsid w:val="1E8437D8"/>
    <w:rsid w:val="1EB065C6"/>
    <w:rsid w:val="1EC82B3F"/>
    <w:rsid w:val="1F053A57"/>
    <w:rsid w:val="1F1C0627"/>
    <w:rsid w:val="1F2006EC"/>
    <w:rsid w:val="1F230053"/>
    <w:rsid w:val="1F4B3CA1"/>
    <w:rsid w:val="1F7E7B45"/>
    <w:rsid w:val="1FAC4F8A"/>
    <w:rsid w:val="1FC13C5C"/>
    <w:rsid w:val="1FCF5464"/>
    <w:rsid w:val="1FD239F5"/>
    <w:rsid w:val="1FDD7739"/>
    <w:rsid w:val="202A0FC9"/>
    <w:rsid w:val="2036536B"/>
    <w:rsid w:val="203D420F"/>
    <w:rsid w:val="207554F2"/>
    <w:rsid w:val="208B2B66"/>
    <w:rsid w:val="20B27D77"/>
    <w:rsid w:val="20C0760C"/>
    <w:rsid w:val="20DD2D35"/>
    <w:rsid w:val="211421D8"/>
    <w:rsid w:val="211E5EAC"/>
    <w:rsid w:val="2126433B"/>
    <w:rsid w:val="2148584D"/>
    <w:rsid w:val="214D3651"/>
    <w:rsid w:val="21546DEE"/>
    <w:rsid w:val="21711A6C"/>
    <w:rsid w:val="21A6564B"/>
    <w:rsid w:val="21AE2333"/>
    <w:rsid w:val="21DB4E94"/>
    <w:rsid w:val="221C05C1"/>
    <w:rsid w:val="22315435"/>
    <w:rsid w:val="2238107A"/>
    <w:rsid w:val="2261504E"/>
    <w:rsid w:val="229B61A8"/>
    <w:rsid w:val="22A76574"/>
    <w:rsid w:val="22BE2635"/>
    <w:rsid w:val="22D63775"/>
    <w:rsid w:val="22E81C7C"/>
    <w:rsid w:val="22EF22BB"/>
    <w:rsid w:val="232467E8"/>
    <w:rsid w:val="23443E9F"/>
    <w:rsid w:val="236232BD"/>
    <w:rsid w:val="236372F7"/>
    <w:rsid w:val="23A51291"/>
    <w:rsid w:val="23D957FB"/>
    <w:rsid w:val="241C4FA4"/>
    <w:rsid w:val="248B310A"/>
    <w:rsid w:val="249E36EE"/>
    <w:rsid w:val="24AB4396"/>
    <w:rsid w:val="24B236F6"/>
    <w:rsid w:val="24C02792"/>
    <w:rsid w:val="251B514B"/>
    <w:rsid w:val="257D4AC2"/>
    <w:rsid w:val="259745A3"/>
    <w:rsid w:val="25A81B19"/>
    <w:rsid w:val="25C16EB4"/>
    <w:rsid w:val="2607478B"/>
    <w:rsid w:val="261E18B0"/>
    <w:rsid w:val="263E5727"/>
    <w:rsid w:val="26557260"/>
    <w:rsid w:val="26A7584F"/>
    <w:rsid w:val="26A96591"/>
    <w:rsid w:val="26C545AB"/>
    <w:rsid w:val="26F8214E"/>
    <w:rsid w:val="26FF1810"/>
    <w:rsid w:val="271C70B8"/>
    <w:rsid w:val="271C7C5C"/>
    <w:rsid w:val="271E4B9B"/>
    <w:rsid w:val="276B12D9"/>
    <w:rsid w:val="279D4B1C"/>
    <w:rsid w:val="28962B66"/>
    <w:rsid w:val="28A72AA8"/>
    <w:rsid w:val="28F043E6"/>
    <w:rsid w:val="290B41F1"/>
    <w:rsid w:val="29827D44"/>
    <w:rsid w:val="29934B2F"/>
    <w:rsid w:val="29997F3D"/>
    <w:rsid w:val="299D7740"/>
    <w:rsid w:val="29A56569"/>
    <w:rsid w:val="29EB7938"/>
    <w:rsid w:val="29F35137"/>
    <w:rsid w:val="2A240621"/>
    <w:rsid w:val="2A374DEF"/>
    <w:rsid w:val="2A7C5548"/>
    <w:rsid w:val="2AA87922"/>
    <w:rsid w:val="2AC7246D"/>
    <w:rsid w:val="2ACA33B8"/>
    <w:rsid w:val="2AED42CC"/>
    <w:rsid w:val="2B15666C"/>
    <w:rsid w:val="2B1964DA"/>
    <w:rsid w:val="2B30569E"/>
    <w:rsid w:val="2B6B3C8E"/>
    <w:rsid w:val="2B83067E"/>
    <w:rsid w:val="2B860932"/>
    <w:rsid w:val="2BC75205"/>
    <w:rsid w:val="2BCD12D4"/>
    <w:rsid w:val="2BD742C3"/>
    <w:rsid w:val="2BFD6592"/>
    <w:rsid w:val="2C155A47"/>
    <w:rsid w:val="2C2A6109"/>
    <w:rsid w:val="2C521D49"/>
    <w:rsid w:val="2C623A48"/>
    <w:rsid w:val="2C7027B0"/>
    <w:rsid w:val="2C731734"/>
    <w:rsid w:val="2C7E630E"/>
    <w:rsid w:val="2CBE6E07"/>
    <w:rsid w:val="2CC44F50"/>
    <w:rsid w:val="2CEF1624"/>
    <w:rsid w:val="2D00760E"/>
    <w:rsid w:val="2D252469"/>
    <w:rsid w:val="2D5A16C0"/>
    <w:rsid w:val="2D613D84"/>
    <w:rsid w:val="2D7C71EB"/>
    <w:rsid w:val="2D7F05BE"/>
    <w:rsid w:val="2DB47200"/>
    <w:rsid w:val="2E4008BD"/>
    <w:rsid w:val="2E465E9C"/>
    <w:rsid w:val="2E8608B4"/>
    <w:rsid w:val="2ED47792"/>
    <w:rsid w:val="2EF17401"/>
    <w:rsid w:val="2EF91FF9"/>
    <w:rsid w:val="2F1F7E07"/>
    <w:rsid w:val="2F661040"/>
    <w:rsid w:val="2F661B8B"/>
    <w:rsid w:val="2FA73F42"/>
    <w:rsid w:val="2FAB64FD"/>
    <w:rsid w:val="30484A71"/>
    <w:rsid w:val="304905F8"/>
    <w:rsid w:val="307C2BCB"/>
    <w:rsid w:val="309A4C0D"/>
    <w:rsid w:val="309D2A20"/>
    <w:rsid w:val="309F5BF1"/>
    <w:rsid w:val="30B37BE6"/>
    <w:rsid w:val="30B42656"/>
    <w:rsid w:val="30BA74E1"/>
    <w:rsid w:val="31434E06"/>
    <w:rsid w:val="31991DC8"/>
    <w:rsid w:val="31A47275"/>
    <w:rsid w:val="31CC2220"/>
    <w:rsid w:val="31D8543B"/>
    <w:rsid w:val="31FA3668"/>
    <w:rsid w:val="321A2CD1"/>
    <w:rsid w:val="32551333"/>
    <w:rsid w:val="327B6335"/>
    <w:rsid w:val="32E25065"/>
    <w:rsid w:val="33073B31"/>
    <w:rsid w:val="33264452"/>
    <w:rsid w:val="33530489"/>
    <w:rsid w:val="33583018"/>
    <w:rsid w:val="337B4C7D"/>
    <w:rsid w:val="33945185"/>
    <w:rsid w:val="33E22104"/>
    <w:rsid w:val="34214474"/>
    <w:rsid w:val="342270C9"/>
    <w:rsid w:val="3429078B"/>
    <w:rsid w:val="34483453"/>
    <w:rsid w:val="344D09AA"/>
    <w:rsid w:val="3467095D"/>
    <w:rsid w:val="34681922"/>
    <w:rsid w:val="34810995"/>
    <w:rsid w:val="34811BC4"/>
    <w:rsid w:val="348B5A3B"/>
    <w:rsid w:val="348E47A5"/>
    <w:rsid w:val="34EB01BB"/>
    <w:rsid w:val="351562C5"/>
    <w:rsid w:val="35326B5F"/>
    <w:rsid w:val="35491E5F"/>
    <w:rsid w:val="3570685F"/>
    <w:rsid w:val="35713C4E"/>
    <w:rsid w:val="35830A40"/>
    <w:rsid w:val="35A22D5B"/>
    <w:rsid w:val="35B14820"/>
    <w:rsid w:val="35F43F3B"/>
    <w:rsid w:val="36501C47"/>
    <w:rsid w:val="36B15E9D"/>
    <w:rsid w:val="36B929E7"/>
    <w:rsid w:val="36D2714A"/>
    <w:rsid w:val="371A7737"/>
    <w:rsid w:val="372123DD"/>
    <w:rsid w:val="373767E9"/>
    <w:rsid w:val="373A3A96"/>
    <w:rsid w:val="37421062"/>
    <w:rsid w:val="37503447"/>
    <w:rsid w:val="37833773"/>
    <w:rsid w:val="37B93676"/>
    <w:rsid w:val="37DC2338"/>
    <w:rsid w:val="3811549B"/>
    <w:rsid w:val="3849533F"/>
    <w:rsid w:val="3850015F"/>
    <w:rsid w:val="38532D1D"/>
    <w:rsid w:val="38631910"/>
    <w:rsid w:val="38805664"/>
    <w:rsid w:val="388A4048"/>
    <w:rsid w:val="389B3CF8"/>
    <w:rsid w:val="389F10E3"/>
    <w:rsid w:val="38AE4C68"/>
    <w:rsid w:val="38B20D73"/>
    <w:rsid w:val="38E657F2"/>
    <w:rsid w:val="390E2773"/>
    <w:rsid w:val="394669DD"/>
    <w:rsid w:val="39517BA6"/>
    <w:rsid w:val="39845679"/>
    <w:rsid w:val="39B16DAB"/>
    <w:rsid w:val="39C756EF"/>
    <w:rsid w:val="3A0E1F84"/>
    <w:rsid w:val="3A2A1412"/>
    <w:rsid w:val="3A343024"/>
    <w:rsid w:val="3AAF7C4A"/>
    <w:rsid w:val="3AD01AA5"/>
    <w:rsid w:val="3AD43E2C"/>
    <w:rsid w:val="3AF55498"/>
    <w:rsid w:val="3B391405"/>
    <w:rsid w:val="3B5C6933"/>
    <w:rsid w:val="3B8D5640"/>
    <w:rsid w:val="3BAE3D4C"/>
    <w:rsid w:val="3C0F5444"/>
    <w:rsid w:val="3C276F9B"/>
    <w:rsid w:val="3C3147E2"/>
    <w:rsid w:val="3C556D70"/>
    <w:rsid w:val="3C773A4A"/>
    <w:rsid w:val="3C863446"/>
    <w:rsid w:val="3CA35017"/>
    <w:rsid w:val="3CB0491E"/>
    <w:rsid w:val="3CE8431C"/>
    <w:rsid w:val="3CF53199"/>
    <w:rsid w:val="3D3B3EF0"/>
    <w:rsid w:val="3D681F95"/>
    <w:rsid w:val="3E495988"/>
    <w:rsid w:val="3E595420"/>
    <w:rsid w:val="3E8749D1"/>
    <w:rsid w:val="3E8D677E"/>
    <w:rsid w:val="3E954989"/>
    <w:rsid w:val="3E9A4D7D"/>
    <w:rsid w:val="3EAC3067"/>
    <w:rsid w:val="3EC9650A"/>
    <w:rsid w:val="3ECC2387"/>
    <w:rsid w:val="3EED2630"/>
    <w:rsid w:val="3EEE15FF"/>
    <w:rsid w:val="3F582C9F"/>
    <w:rsid w:val="3FA67382"/>
    <w:rsid w:val="3FF774FA"/>
    <w:rsid w:val="40354876"/>
    <w:rsid w:val="4066424B"/>
    <w:rsid w:val="407254D1"/>
    <w:rsid w:val="407C632B"/>
    <w:rsid w:val="40CA3564"/>
    <w:rsid w:val="40D45828"/>
    <w:rsid w:val="40E84871"/>
    <w:rsid w:val="40ED03B7"/>
    <w:rsid w:val="40F338F8"/>
    <w:rsid w:val="410463D5"/>
    <w:rsid w:val="411956A7"/>
    <w:rsid w:val="413F360C"/>
    <w:rsid w:val="41406A60"/>
    <w:rsid w:val="414C10F9"/>
    <w:rsid w:val="4179240F"/>
    <w:rsid w:val="417A78A1"/>
    <w:rsid w:val="41807CD6"/>
    <w:rsid w:val="41965F1B"/>
    <w:rsid w:val="41A83361"/>
    <w:rsid w:val="41EB3657"/>
    <w:rsid w:val="41F571AE"/>
    <w:rsid w:val="41F727F5"/>
    <w:rsid w:val="42126E9B"/>
    <w:rsid w:val="4216031C"/>
    <w:rsid w:val="4217435B"/>
    <w:rsid w:val="423424B2"/>
    <w:rsid w:val="423A5F1B"/>
    <w:rsid w:val="429F19AD"/>
    <w:rsid w:val="42D01412"/>
    <w:rsid w:val="42F20186"/>
    <w:rsid w:val="42FF36EB"/>
    <w:rsid w:val="43013EC5"/>
    <w:rsid w:val="433F2159"/>
    <w:rsid w:val="43443494"/>
    <w:rsid w:val="436E1C30"/>
    <w:rsid w:val="43795979"/>
    <w:rsid w:val="43865993"/>
    <w:rsid w:val="43C063F8"/>
    <w:rsid w:val="43D70E5F"/>
    <w:rsid w:val="43E852AF"/>
    <w:rsid w:val="43F643FE"/>
    <w:rsid w:val="44174538"/>
    <w:rsid w:val="44186181"/>
    <w:rsid w:val="44186195"/>
    <w:rsid w:val="44591889"/>
    <w:rsid w:val="44742904"/>
    <w:rsid w:val="447F36FE"/>
    <w:rsid w:val="449F3057"/>
    <w:rsid w:val="44B56163"/>
    <w:rsid w:val="44C355A5"/>
    <w:rsid w:val="44C52232"/>
    <w:rsid w:val="44D067E9"/>
    <w:rsid w:val="44DA159B"/>
    <w:rsid w:val="451A5E53"/>
    <w:rsid w:val="45502885"/>
    <w:rsid w:val="455A2F41"/>
    <w:rsid w:val="45707BD3"/>
    <w:rsid w:val="45914E8B"/>
    <w:rsid w:val="45E11F48"/>
    <w:rsid w:val="45E45348"/>
    <w:rsid w:val="460C0DB1"/>
    <w:rsid w:val="46135035"/>
    <w:rsid w:val="4615769D"/>
    <w:rsid w:val="466023FC"/>
    <w:rsid w:val="469E7749"/>
    <w:rsid w:val="46AD5ACF"/>
    <w:rsid w:val="46CB267F"/>
    <w:rsid w:val="46CD67DD"/>
    <w:rsid w:val="46DF0EB8"/>
    <w:rsid w:val="47012AA4"/>
    <w:rsid w:val="47067D74"/>
    <w:rsid w:val="477E7F6F"/>
    <w:rsid w:val="478756EE"/>
    <w:rsid w:val="47922E8C"/>
    <w:rsid w:val="479A1A8F"/>
    <w:rsid w:val="47C66AE0"/>
    <w:rsid w:val="47CD7C25"/>
    <w:rsid w:val="47DA51A8"/>
    <w:rsid w:val="47EF0EBC"/>
    <w:rsid w:val="48080439"/>
    <w:rsid w:val="4828171D"/>
    <w:rsid w:val="483C75FC"/>
    <w:rsid w:val="48574543"/>
    <w:rsid w:val="48695CBE"/>
    <w:rsid w:val="48A26103"/>
    <w:rsid w:val="48C51478"/>
    <w:rsid w:val="48C87853"/>
    <w:rsid w:val="48D60423"/>
    <w:rsid w:val="48D73884"/>
    <w:rsid w:val="491D6DE7"/>
    <w:rsid w:val="494F59D3"/>
    <w:rsid w:val="497516A4"/>
    <w:rsid w:val="49A46069"/>
    <w:rsid w:val="49AC3142"/>
    <w:rsid w:val="49C84A14"/>
    <w:rsid w:val="49DC4BDB"/>
    <w:rsid w:val="49ED09FB"/>
    <w:rsid w:val="49F763D6"/>
    <w:rsid w:val="4A0D1200"/>
    <w:rsid w:val="4A105C4A"/>
    <w:rsid w:val="4A1575F8"/>
    <w:rsid w:val="4A223481"/>
    <w:rsid w:val="4A4A67AF"/>
    <w:rsid w:val="4A852B4B"/>
    <w:rsid w:val="4A8B7FEA"/>
    <w:rsid w:val="4A9573B2"/>
    <w:rsid w:val="4AB30891"/>
    <w:rsid w:val="4AC53305"/>
    <w:rsid w:val="4ACD1607"/>
    <w:rsid w:val="4ACE3AB6"/>
    <w:rsid w:val="4AF9004E"/>
    <w:rsid w:val="4B06675C"/>
    <w:rsid w:val="4B0B1D38"/>
    <w:rsid w:val="4B5132D6"/>
    <w:rsid w:val="4B5F3250"/>
    <w:rsid w:val="4B620FC4"/>
    <w:rsid w:val="4B681D0A"/>
    <w:rsid w:val="4B683BCC"/>
    <w:rsid w:val="4C0A2870"/>
    <w:rsid w:val="4C7F01D6"/>
    <w:rsid w:val="4CA81198"/>
    <w:rsid w:val="4CB939C0"/>
    <w:rsid w:val="4CF71432"/>
    <w:rsid w:val="4CFA64FC"/>
    <w:rsid w:val="4D08382F"/>
    <w:rsid w:val="4D3A3B5C"/>
    <w:rsid w:val="4DD21E15"/>
    <w:rsid w:val="4E18163D"/>
    <w:rsid w:val="4F0D5B17"/>
    <w:rsid w:val="4F8B0200"/>
    <w:rsid w:val="4FA7526F"/>
    <w:rsid w:val="4FA967D8"/>
    <w:rsid w:val="4FB84451"/>
    <w:rsid w:val="4FE62200"/>
    <w:rsid w:val="500115F5"/>
    <w:rsid w:val="50246DA6"/>
    <w:rsid w:val="5026307B"/>
    <w:rsid w:val="506F6E66"/>
    <w:rsid w:val="50B00D5B"/>
    <w:rsid w:val="50B9286C"/>
    <w:rsid w:val="50F85730"/>
    <w:rsid w:val="5112080B"/>
    <w:rsid w:val="51324083"/>
    <w:rsid w:val="51400BD5"/>
    <w:rsid w:val="51521144"/>
    <w:rsid w:val="51B71063"/>
    <w:rsid w:val="51B75657"/>
    <w:rsid w:val="51C23CA5"/>
    <w:rsid w:val="520C286E"/>
    <w:rsid w:val="52171FA0"/>
    <w:rsid w:val="522B1006"/>
    <w:rsid w:val="523404FD"/>
    <w:rsid w:val="523B4B98"/>
    <w:rsid w:val="525B38DF"/>
    <w:rsid w:val="52C31BCF"/>
    <w:rsid w:val="52D00E84"/>
    <w:rsid w:val="53095D30"/>
    <w:rsid w:val="531908BE"/>
    <w:rsid w:val="531F2189"/>
    <w:rsid w:val="5353008A"/>
    <w:rsid w:val="538036F5"/>
    <w:rsid w:val="53953154"/>
    <w:rsid w:val="53AB5FF9"/>
    <w:rsid w:val="53AF3E94"/>
    <w:rsid w:val="53BC1B19"/>
    <w:rsid w:val="53C3764A"/>
    <w:rsid w:val="53DE1B16"/>
    <w:rsid w:val="53E34938"/>
    <w:rsid w:val="542463FC"/>
    <w:rsid w:val="543A612E"/>
    <w:rsid w:val="54A61F30"/>
    <w:rsid w:val="54EC5941"/>
    <w:rsid w:val="55630D81"/>
    <w:rsid w:val="558000AB"/>
    <w:rsid w:val="559701F1"/>
    <w:rsid w:val="55CC25D3"/>
    <w:rsid w:val="55EB624D"/>
    <w:rsid w:val="55EC1220"/>
    <w:rsid w:val="56193C33"/>
    <w:rsid w:val="56A170BD"/>
    <w:rsid w:val="56A74438"/>
    <w:rsid w:val="56BC5B2C"/>
    <w:rsid w:val="56ED6F03"/>
    <w:rsid w:val="56FC6E95"/>
    <w:rsid w:val="570A43D5"/>
    <w:rsid w:val="571972F6"/>
    <w:rsid w:val="57473999"/>
    <w:rsid w:val="57514C77"/>
    <w:rsid w:val="575D3935"/>
    <w:rsid w:val="579F359C"/>
    <w:rsid w:val="57A2431A"/>
    <w:rsid w:val="57BE588A"/>
    <w:rsid w:val="57BE72BB"/>
    <w:rsid w:val="57E56981"/>
    <w:rsid w:val="57F76AC9"/>
    <w:rsid w:val="57F80C8B"/>
    <w:rsid w:val="58055184"/>
    <w:rsid w:val="581B1513"/>
    <w:rsid w:val="58330636"/>
    <w:rsid w:val="58343265"/>
    <w:rsid w:val="58615EB2"/>
    <w:rsid w:val="58813AFC"/>
    <w:rsid w:val="589018A6"/>
    <w:rsid w:val="589772AC"/>
    <w:rsid w:val="58DD539D"/>
    <w:rsid w:val="58DE0204"/>
    <w:rsid w:val="58EA04D9"/>
    <w:rsid w:val="5918671A"/>
    <w:rsid w:val="59462EEC"/>
    <w:rsid w:val="594C6947"/>
    <w:rsid w:val="59891072"/>
    <w:rsid w:val="598E253B"/>
    <w:rsid w:val="5A2C50C3"/>
    <w:rsid w:val="5A3121F3"/>
    <w:rsid w:val="5A665A46"/>
    <w:rsid w:val="5A696B20"/>
    <w:rsid w:val="5A7C39E2"/>
    <w:rsid w:val="5A8E34D9"/>
    <w:rsid w:val="5AA63CCD"/>
    <w:rsid w:val="5AAD633D"/>
    <w:rsid w:val="5ACD39D7"/>
    <w:rsid w:val="5AF173B3"/>
    <w:rsid w:val="5B3A57CC"/>
    <w:rsid w:val="5B5358B5"/>
    <w:rsid w:val="5BE11DBD"/>
    <w:rsid w:val="5BF77479"/>
    <w:rsid w:val="5BFB6833"/>
    <w:rsid w:val="5BFE0C43"/>
    <w:rsid w:val="5BFE1CD9"/>
    <w:rsid w:val="5C03541D"/>
    <w:rsid w:val="5C2C4A57"/>
    <w:rsid w:val="5C374758"/>
    <w:rsid w:val="5C6108F1"/>
    <w:rsid w:val="5C930B5A"/>
    <w:rsid w:val="5CA61A57"/>
    <w:rsid w:val="5D127D21"/>
    <w:rsid w:val="5D1C775B"/>
    <w:rsid w:val="5D8322EA"/>
    <w:rsid w:val="5D842B6F"/>
    <w:rsid w:val="5DD81D4D"/>
    <w:rsid w:val="5DE73FD2"/>
    <w:rsid w:val="5E0B4F13"/>
    <w:rsid w:val="5E25013B"/>
    <w:rsid w:val="5E2B75F3"/>
    <w:rsid w:val="5E4413D6"/>
    <w:rsid w:val="5E6B7F92"/>
    <w:rsid w:val="5E837E01"/>
    <w:rsid w:val="5E963F72"/>
    <w:rsid w:val="5EA60A70"/>
    <w:rsid w:val="5EA61C78"/>
    <w:rsid w:val="5ED15115"/>
    <w:rsid w:val="5ED65BD0"/>
    <w:rsid w:val="5EFD53AB"/>
    <w:rsid w:val="5F08327F"/>
    <w:rsid w:val="5F0A6BE8"/>
    <w:rsid w:val="5F144127"/>
    <w:rsid w:val="5F2445FA"/>
    <w:rsid w:val="5F4200BF"/>
    <w:rsid w:val="5F6D717A"/>
    <w:rsid w:val="5FAB45D3"/>
    <w:rsid w:val="5FD102F1"/>
    <w:rsid w:val="5FE911DF"/>
    <w:rsid w:val="5FFD720F"/>
    <w:rsid w:val="601B01FE"/>
    <w:rsid w:val="604A20A0"/>
    <w:rsid w:val="605D4390"/>
    <w:rsid w:val="60866C0B"/>
    <w:rsid w:val="613C2199"/>
    <w:rsid w:val="61521E27"/>
    <w:rsid w:val="61533843"/>
    <w:rsid w:val="61687811"/>
    <w:rsid w:val="61BD5F8A"/>
    <w:rsid w:val="61DB12C5"/>
    <w:rsid w:val="61DD634D"/>
    <w:rsid w:val="62097780"/>
    <w:rsid w:val="620B736D"/>
    <w:rsid w:val="627C25DB"/>
    <w:rsid w:val="62865522"/>
    <w:rsid w:val="62E4190B"/>
    <w:rsid w:val="62E64445"/>
    <w:rsid w:val="62EE4001"/>
    <w:rsid w:val="63C74252"/>
    <w:rsid w:val="63C97B76"/>
    <w:rsid w:val="646E12DA"/>
    <w:rsid w:val="64912313"/>
    <w:rsid w:val="64B5646A"/>
    <w:rsid w:val="64C10208"/>
    <w:rsid w:val="64ED62F7"/>
    <w:rsid w:val="650317F7"/>
    <w:rsid w:val="65122205"/>
    <w:rsid w:val="653B2C8D"/>
    <w:rsid w:val="653E0897"/>
    <w:rsid w:val="65803D66"/>
    <w:rsid w:val="65A338CD"/>
    <w:rsid w:val="65D20A41"/>
    <w:rsid w:val="66246B87"/>
    <w:rsid w:val="66A96CD0"/>
    <w:rsid w:val="66D1288D"/>
    <w:rsid w:val="66EB27A0"/>
    <w:rsid w:val="66EF7758"/>
    <w:rsid w:val="66F3463F"/>
    <w:rsid w:val="670E0DFD"/>
    <w:rsid w:val="6722157C"/>
    <w:rsid w:val="67294F1F"/>
    <w:rsid w:val="672A5B66"/>
    <w:rsid w:val="67396D65"/>
    <w:rsid w:val="673D3B34"/>
    <w:rsid w:val="67DB72A5"/>
    <w:rsid w:val="680360A5"/>
    <w:rsid w:val="68365636"/>
    <w:rsid w:val="6843647C"/>
    <w:rsid w:val="68503F37"/>
    <w:rsid w:val="685E041D"/>
    <w:rsid w:val="689B59B0"/>
    <w:rsid w:val="68E95FF7"/>
    <w:rsid w:val="691277FE"/>
    <w:rsid w:val="692F07F9"/>
    <w:rsid w:val="69357C21"/>
    <w:rsid w:val="69755300"/>
    <w:rsid w:val="69A57280"/>
    <w:rsid w:val="69C55690"/>
    <w:rsid w:val="69FE06D5"/>
    <w:rsid w:val="6A367F1F"/>
    <w:rsid w:val="6A5509BB"/>
    <w:rsid w:val="6AB619D6"/>
    <w:rsid w:val="6ABD6A22"/>
    <w:rsid w:val="6ADD4437"/>
    <w:rsid w:val="6AF82AD2"/>
    <w:rsid w:val="6B0D3D66"/>
    <w:rsid w:val="6B1F37D4"/>
    <w:rsid w:val="6B2E7A10"/>
    <w:rsid w:val="6B542023"/>
    <w:rsid w:val="6B5C712D"/>
    <w:rsid w:val="6B6E6768"/>
    <w:rsid w:val="6B930C50"/>
    <w:rsid w:val="6B9D73B7"/>
    <w:rsid w:val="6BCE1132"/>
    <w:rsid w:val="6BFF4758"/>
    <w:rsid w:val="6C3C1402"/>
    <w:rsid w:val="6C5B0C76"/>
    <w:rsid w:val="6C86497E"/>
    <w:rsid w:val="6C977DAA"/>
    <w:rsid w:val="6CA303CF"/>
    <w:rsid w:val="6CC977B0"/>
    <w:rsid w:val="6CD7339D"/>
    <w:rsid w:val="6CDB7F21"/>
    <w:rsid w:val="6CDC381E"/>
    <w:rsid w:val="6D0732BB"/>
    <w:rsid w:val="6DF911B3"/>
    <w:rsid w:val="6E143060"/>
    <w:rsid w:val="6E3B5D35"/>
    <w:rsid w:val="6E434AF3"/>
    <w:rsid w:val="6E4571EE"/>
    <w:rsid w:val="6E9848A6"/>
    <w:rsid w:val="6EB056A6"/>
    <w:rsid w:val="6EC14A71"/>
    <w:rsid w:val="6EC41F78"/>
    <w:rsid w:val="6EE83E6E"/>
    <w:rsid w:val="6EF4258E"/>
    <w:rsid w:val="6F3802F6"/>
    <w:rsid w:val="6F4A76DB"/>
    <w:rsid w:val="6F561886"/>
    <w:rsid w:val="6F692784"/>
    <w:rsid w:val="6F882B2E"/>
    <w:rsid w:val="6FFE73D3"/>
    <w:rsid w:val="7037280B"/>
    <w:rsid w:val="703D63B1"/>
    <w:rsid w:val="70613CD7"/>
    <w:rsid w:val="708B3AE2"/>
    <w:rsid w:val="70C42B65"/>
    <w:rsid w:val="70CE3B22"/>
    <w:rsid w:val="70DB7992"/>
    <w:rsid w:val="7116495F"/>
    <w:rsid w:val="718168D5"/>
    <w:rsid w:val="71975730"/>
    <w:rsid w:val="71AD7F26"/>
    <w:rsid w:val="71E863ED"/>
    <w:rsid w:val="7247348B"/>
    <w:rsid w:val="726D5A8B"/>
    <w:rsid w:val="727306BC"/>
    <w:rsid w:val="72935DCF"/>
    <w:rsid w:val="731D61A6"/>
    <w:rsid w:val="74114A77"/>
    <w:rsid w:val="74303738"/>
    <w:rsid w:val="74877761"/>
    <w:rsid w:val="74B83B43"/>
    <w:rsid w:val="74D07A8B"/>
    <w:rsid w:val="74D60621"/>
    <w:rsid w:val="751B4FD1"/>
    <w:rsid w:val="754719AF"/>
    <w:rsid w:val="75607033"/>
    <w:rsid w:val="756A7635"/>
    <w:rsid w:val="757A6FD8"/>
    <w:rsid w:val="75C231D4"/>
    <w:rsid w:val="75F762F4"/>
    <w:rsid w:val="75FB6E39"/>
    <w:rsid w:val="762A10B7"/>
    <w:rsid w:val="76357C04"/>
    <w:rsid w:val="76366048"/>
    <w:rsid w:val="76DE2CD7"/>
    <w:rsid w:val="77297FB9"/>
    <w:rsid w:val="774B4E54"/>
    <w:rsid w:val="77F446F2"/>
    <w:rsid w:val="781C1CBA"/>
    <w:rsid w:val="78585BC3"/>
    <w:rsid w:val="789263F7"/>
    <w:rsid w:val="78B20973"/>
    <w:rsid w:val="79257210"/>
    <w:rsid w:val="79286C9D"/>
    <w:rsid w:val="79646787"/>
    <w:rsid w:val="796D0DCE"/>
    <w:rsid w:val="797C6CDC"/>
    <w:rsid w:val="79836C55"/>
    <w:rsid w:val="79AF1DC6"/>
    <w:rsid w:val="79B47675"/>
    <w:rsid w:val="79C2196B"/>
    <w:rsid w:val="79C87AB0"/>
    <w:rsid w:val="79F25118"/>
    <w:rsid w:val="7A114CD3"/>
    <w:rsid w:val="7A4D3948"/>
    <w:rsid w:val="7A8C4C10"/>
    <w:rsid w:val="7A9F5FDB"/>
    <w:rsid w:val="7AC86E5D"/>
    <w:rsid w:val="7AE67083"/>
    <w:rsid w:val="7B142944"/>
    <w:rsid w:val="7BA0623C"/>
    <w:rsid w:val="7BB7469E"/>
    <w:rsid w:val="7BBA3DA8"/>
    <w:rsid w:val="7BE0523B"/>
    <w:rsid w:val="7BEC3BD7"/>
    <w:rsid w:val="7BFB17D8"/>
    <w:rsid w:val="7C024B2F"/>
    <w:rsid w:val="7C044D33"/>
    <w:rsid w:val="7C1D07D1"/>
    <w:rsid w:val="7C336D67"/>
    <w:rsid w:val="7C484505"/>
    <w:rsid w:val="7CCE0771"/>
    <w:rsid w:val="7CEB106F"/>
    <w:rsid w:val="7CF92F75"/>
    <w:rsid w:val="7D44797C"/>
    <w:rsid w:val="7D572B71"/>
    <w:rsid w:val="7D82650E"/>
    <w:rsid w:val="7D952A61"/>
    <w:rsid w:val="7DC37204"/>
    <w:rsid w:val="7DC403A0"/>
    <w:rsid w:val="7DFF504B"/>
    <w:rsid w:val="7E6A0725"/>
    <w:rsid w:val="7E745E95"/>
    <w:rsid w:val="7E9C7A80"/>
    <w:rsid w:val="7EC81B95"/>
    <w:rsid w:val="7EDD151F"/>
    <w:rsid w:val="7EE525E8"/>
    <w:rsid w:val="7EF048D2"/>
    <w:rsid w:val="7F0A0FDD"/>
    <w:rsid w:val="7F185ECD"/>
    <w:rsid w:val="7F606651"/>
    <w:rsid w:val="7F940CC8"/>
    <w:rsid w:val="7FE83701"/>
    <w:rsid w:val="7FF0073C"/>
    <w:rsid w:val="7FFC7020"/>
    <w:rsid w:val="7FFF1BB5"/>
    <w:rsid w:val="7FFF4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2"/>
      <w:jc w:val="both"/>
    </w:pPr>
    <w:rPr>
      <w:rFonts w:ascii="楷体_GB2312" w:hAnsi="Times New Roman" w:eastAsia="楷体_GB2312" w:cs="Times New Roman"/>
      <w:kern w:val="2"/>
      <w:sz w:val="24"/>
      <w:lang w:val="en-US" w:eastAsia="zh-CN" w:bidi="ar-SA"/>
    </w:rPr>
  </w:style>
  <w:style w:type="paragraph" w:styleId="2">
    <w:name w:val="heading 1"/>
    <w:basedOn w:val="1"/>
    <w:next w:val="1"/>
    <w:link w:val="32"/>
    <w:qFormat/>
    <w:uiPriority w:val="9"/>
    <w:pPr>
      <w:keepNext/>
      <w:keepLines/>
      <w:spacing w:before="480"/>
      <w:outlineLvl w:val="0"/>
    </w:pPr>
    <w:rPr>
      <w:rFonts w:ascii="Cambria" w:hAnsi="Cambria" w:cstheme="majorBidi"/>
      <w:b/>
      <w:bCs/>
      <w:color w:val="365F91"/>
      <w:sz w:val="28"/>
      <w:szCs w:val="28"/>
    </w:rPr>
  </w:style>
  <w:style w:type="paragraph" w:styleId="3">
    <w:name w:val="heading 2"/>
    <w:basedOn w:val="1"/>
    <w:next w:val="1"/>
    <w:link w:val="33"/>
    <w:unhideWhenUsed/>
    <w:qFormat/>
    <w:uiPriority w:val="0"/>
    <w:pPr>
      <w:keepNext/>
      <w:keepLines/>
      <w:spacing w:before="200"/>
      <w:outlineLvl w:val="1"/>
    </w:pPr>
    <w:rPr>
      <w:rFonts w:ascii="Cambria" w:hAnsi="Cambria" w:cstheme="majorBidi"/>
      <w:b/>
      <w:bCs/>
      <w:color w:val="4F81BD"/>
      <w:sz w:val="26"/>
      <w:szCs w:val="26"/>
    </w:rPr>
  </w:style>
  <w:style w:type="paragraph" w:styleId="4">
    <w:name w:val="heading 3"/>
    <w:basedOn w:val="1"/>
    <w:next w:val="1"/>
    <w:link w:val="34"/>
    <w:unhideWhenUsed/>
    <w:qFormat/>
    <w:uiPriority w:val="9"/>
    <w:pPr>
      <w:keepNext/>
      <w:keepLines/>
      <w:spacing w:before="200"/>
      <w:outlineLvl w:val="2"/>
    </w:pPr>
    <w:rPr>
      <w:rFonts w:ascii="Cambria" w:hAnsi="Cambria" w:cstheme="majorBidi"/>
      <w:b/>
      <w:bCs/>
      <w:color w:val="4F81BD"/>
      <w:sz w:val="20"/>
    </w:rPr>
  </w:style>
  <w:style w:type="paragraph" w:styleId="5">
    <w:name w:val="heading 4"/>
    <w:basedOn w:val="1"/>
    <w:next w:val="1"/>
    <w:link w:val="35"/>
    <w:unhideWhenUsed/>
    <w:qFormat/>
    <w:uiPriority w:val="0"/>
    <w:pPr>
      <w:keepNext/>
      <w:keepLines/>
      <w:spacing w:before="200"/>
      <w:outlineLvl w:val="3"/>
    </w:pPr>
    <w:rPr>
      <w:rFonts w:ascii="Cambria" w:hAnsi="Cambria" w:cstheme="majorBidi"/>
      <w:b/>
      <w:bCs/>
      <w:i/>
      <w:iCs/>
      <w:color w:val="4F81BD"/>
      <w:sz w:val="20"/>
    </w:rPr>
  </w:style>
  <w:style w:type="paragraph" w:styleId="6">
    <w:name w:val="heading 5"/>
    <w:basedOn w:val="1"/>
    <w:next w:val="1"/>
    <w:link w:val="36"/>
    <w:semiHidden/>
    <w:unhideWhenUsed/>
    <w:qFormat/>
    <w:uiPriority w:val="9"/>
    <w:pPr>
      <w:keepNext/>
      <w:keepLines/>
      <w:spacing w:before="200"/>
      <w:outlineLvl w:val="4"/>
    </w:pPr>
    <w:rPr>
      <w:rFonts w:ascii="Cambria" w:hAnsi="Cambria" w:cstheme="majorBidi"/>
      <w:color w:val="243F60"/>
      <w:sz w:val="20"/>
    </w:rPr>
  </w:style>
  <w:style w:type="paragraph" w:styleId="7">
    <w:name w:val="heading 6"/>
    <w:basedOn w:val="1"/>
    <w:next w:val="1"/>
    <w:link w:val="37"/>
    <w:semiHidden/>
    <w:unhideWhenUsed/>
    <w:qFormat/>
    <w:uiPriority w:val="9"/>
    <w:pPr>
      <w:keepNext/>
      <w:keepLines/>
      <w:spacing w:before="200"/>
      <w:outlineLvl w:val="5"/>
    </w:pPr>
    <w:rPr>
      <w:rFonts w:ascii="Cambria" w:hAnsi="Cambria" w:cstheme="majorBidi"/>
      <w:i/>
      <w:iCs/>
      <w:color w:val="243F60"/>
      <w:sz w:val="20"/>
    </w:rPr>
  </w:style>
  <w:style w:type="paragraph" w:styleId="8">
    <w:name w:val="heading 7"/>
    <w:basedOn w:val="1"/>
    <w:next w:val="1"/>
    <w:link w:val="38"/>
    <w:semiHidden/>
    <w:unhideWhenUsed/>
    <w:qFormat/>
    <w:uiPriority w:val="9"/>
    <w:pPr>
      <w:keepNext/>
      <w:keepLines/>
      <w:spacing w:before="200"/>
      <w:outlineLvl w:val="6"/>
    </w:pPr>
    <w:rPr>
      <w:rFonts w:ascii="Cambria" w:hAnsi="Cambria" w:cstheme="majorBidi"/>
      <w:i/>
      <w:iCs/>
      <w:color w:val="404040"/>
      <w:sz w:val="20"/>
    </w:rPr>
  </w:style>
  <w:style w:type="paragraph" w:styleId="9">
    <w:name w:val="heading 8"/>
    <w:basedOn w:val="1"/>
    <w:next w:val="1"/>
    <w:link w:val="39"/>
    <w:semiHidden/>
    <w:unhideWhenUsed/>
    <w:qFormat/>
    <w:uiPriority w:val="9"/>
    <w:pPr>
      <w:keepNext/>
      <w:keepLines/>
      <w:spacing w:before="200"/>
      <w:outlineLvl w:val="7"/>
    </w:pPr>
    <w:rPr>
      <w:rFonts w:ascii="Cambria" w:hAnsi="Cambria" w:cstheme="majorBidi"/>
      <w:color w:val="4F81BD"/>
      <w:sz w:val="20"/>
    </w:rPr>
  </w:style>
  <w:style w:type="paragraph" w:styleId="10">
    <w:name w:val="heading 9"/>
    <w:basedOn w:val="1"/>
    <w:next w:val="1"/>
    <w:link w:val="40"/>
    <w:semiHidden/>
    <w:unhideWhenUsed/>
    <w:qFormat/>
    <w:uiPriority w:val="9"/>
    <w:pPr>
      <w:keepNext/>
      <w:keepLines/>
      <w:spacing w:before="200"/>
      <w:outlineLvl w:val="8"/>
    </w:pPr>
    <w:rPr>
      <w:rFonts w:ascii="Cambria" w:hAnsi="Cambria" w:cstheme="majorBidi"/>
      <w:i/>
      <w:iCs/>
      <w:color w:val="404040"/>
      <w:sz w:val="20"/>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spacing w:line="240" w:lineRule="auto"/>
    </w:pPr>
    <w:rPr>
      <w:b/>
      <w:bCs/>
      <w:color w:val="4F81BD"/>
      <w:sz w:val="18"/>
      <w:szCs w:val="18"/>
    </w:rPr>
  </w:style>
  <w:style w:type="paragraph" w:styleId="12">
    <w:name w:val="Document Map"/>
    <w:basedOn w:val="1"/>
    <w:link w:val="58"/>
    <w:semiHidden/>
    <w:unhideWhenUsed/>
    <w:qFormat/>
    <w:uiPriority w:val="99"/>
    <w:rPr>
      <w:rFonts w:ascii="宋体" w:eastAsia="宋体"/>
      <w:sz w:val="18"/>
      <w:szCs w:val="18"/>
    </w:rPr>
  </w:style>
  <w:style w:type="paragraph" w:styleId="13">
    <w:name w:val="annotation text"/>
    <w:basedOn w:val="1"/>
    <w:link w:val="60"/>
    <w:semiHidden/>
    <w:unhideWhenUsed/>
    <w:qFormat/>
    <w:uiPriority w:val="99"/>
    <w:pPr>
      <w:jc w:val="left"/>
    </w:pPr>
  </w:style>
  <w:style w:type="paragraph" w:styleId="14">
    <w:name w:val="Body Text"/>
    <w:basedOn w:val="1"/>
    <w:link w:val="57"/>
    <w:qFormat/>
    <w:uiPriority w:val="0"/>
    <w:pPr>
      <w:spacing w:line="120" w:lineRule="atLeast"/>
      <w:ind w:firstLine="0"/>
    </w:pPr>
    <w:rPr>
      <w:sz w:val="21"/>
    </w:rPr>
  </w:style>
  <w:style w:type="paragraph" w:styleId="15">
    <w:name w:val="toc 3"/>
    <w:basedOn w:val="1"/>
    <w:next w:val="1"/>
    <w:semiHidden/>
    <w:unhideWhenUsed/>
    <w:qFormat/>
    <w:uiPriority w:val="39"/>
    <w:pPr>
      <w:ind w:left="840" w:leftChars="400"/>
    </w:pPr>
  </w:style>
  <w:style w:type="paragraph" w:styleId="16">
    <w:name w:val="Balloon Text"/>
    <w:basedOn w:val="1"/>
    <w:link w:val="59"/>
    <w:semiHidden/>
    <w:unhideWhenUsed/>
    <w:qFormat/>
    <w:uiPriority w:val="99"/>
    <w:pPr>
      <w:spacing w:line="240" w:lineRule="auto"/>
    </w:pPr>
    <w:rPr>
      <w:sz w:val="18"/>
      <w:szCs w:val="18"/>
    </w:rPr>
  </w:style>
  <w:style w:type="paragraph" w:styleId="17">
    <w:name w:val="footer"/>
    <w:basedOn w:val="1"/>
    <w:link w:val="56"/>
    <w:unhideWhenUsed/>
    <w:qFormat/>
    <w:uiPriority w:val="0"/>
    <w:pPr>
      <w:tabs>
        <w:tab w:val="center" w:pos="4153"/>
        <w:tab w:val="right" w:pos="8306"/>
      </w:tabs>
      <w:snapToGrid w:val="0"/>
      <w:spacing w:line="240" w:lineRule="auto"/>
    </w:pPr>
    <w:rPr>
      <w:sz w:val="18"/>
      <w:szCs w:val="18"/>
    </w:rPr>
  </w:style>
  <w:style w:type="paragraph" w:styleId="18">
    <w:name w:val="header"/>
    <w:basedOn w:val="1"/>
    <w:link w:val="55"/>
    <w:unhideWhenUsed/>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9">
    <w:name w:val="toc 1"/>
    <w:basedOn w:val="1"/>
    <w:next w:val="1"/>
    <w:qFormat/>
    <w:uiPriority w:val="39"/>
  </w:style>
  <w:style w:type="paragraph" w:styleId="20">
    <w:name w:val="Subtitle"/>
    <w:basedOn w:val="1"/>
    <w:next w:val="1"/>
    <w:link w:val="42"/>
    <w:qFormat/>
    <w:uiPriority w:val="11"/>
    <w:pPr>
      <w:ind w:firstLine="482"/>
    </w:pPr>
    <w:rPr>
      <w:rFonts w:ascii="Cambria" w:hAnsi="Cambria" w:cstheme="majorBidi"/>
      <w:i/>
      <w:iCs/>
      <w:color w:val="4F81BD"/>
      <w:spacing w:val="15"/>
      <w:szCs w:val="24"/>
    </w:rPr>
  </w:style>
  <w:style w:type="paragraph" w:styleId="21">
    <w:name w:val="toc 2"/>
    <w:basedOn w:val="1"/>
    <w:next w:val="1"/>
    <w:qFormat/>
    <w:uiPriority w:val="39"/>
    <w:pPr>
      <w:ind w:left="420"/>
    </w:pPr>
  </w:style>
  <w:style w:type="paragraph" w:styleId="22">
    <w:name w:val="Title"/>
    <w:basedOn w:val="1"/>
    <w:next w:val="1"/>
    <w:link w:val="41"/>
    <w:qFormat/>
    <w:uiPriority w:val="10"/>
    <w:pPr>
      <w:pBdr>
        <w:bottom w:val="single" w:color="4F81BD" w:sz="8" w:space="4"/>
      </w:pBdr>
      <w:spacing w:after="300" w:line="240" w:lineRule="auto"/>
      <w:contextualSpacing/>
    </w:pPr>
    <w:rPr>
      <w:rFonts w:ascii="Cambria" w:hAnsi="Cambria" w:cstheme="majorBidi"/>
      <w:color w:val="17365D"/>
      <w:spacing w:val="5"/>
      <w:kern w:val="28"/>
      <w:sz w:val="52"/>
      <w:szCs w:val="52"/>
    </w:rPr>
  </w:style>
  <w:style w:type="paragraph" w:styleId="23">
    <w:name w:val="annotation subject"/>
    <w:basedOn w:val="13"/>
    <w:next w:val="13"/>
    <w:link w:val="61"/>
    <w:semiHidden/>
    <w:unhideWhenUsed/>
    <w:qFormat/>
    <w:uiPriority w:val="99"/>
    <w:rPr>
      <w:b/>
      <w:bCs/>
    </w:rPr>
  </w:style>
  <w:style w:type="table" w:styleId="25">
    <w:name w:val="Table Grid"/>
    <w:basedOn w:val="24"/>
    <w:qFormat/>
    <w:uiPriority w:val="39"/>
    <w:rPr>
      <w:rFonts w:asciiTheme="minorHAnsi" w:hAnsiTheme="minorHAnsi" w:cstheme="minorBidi"/>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22"/>
    <w:rPr>
      <w:b/>
      <w:bCs/>
    </w:rPr>
  </w:style>
  <w:style w:type="character" w:styleId="28">
    <w:name w:val="page number"/>
    <w:basedOn w:val="26"/>
    <w:qFormat/>
    <w:uiPriority w:val="0"/>
  </w:style>
  <w:style w:type="character" w:styleId="29">
    <w:name w:val="Emphasis"/>
    <w:basedOn w:val="26"/>
    <w:qFormat/>
    <w:uiPriority w:val="20"/>
    <w:rPr>
      <w:i/>
      <w:iCs/>
    </w:rPr>
  </w:style>
  <w:style w:type="character" w:styleId="30">
    <w:name w:val="Hyperlink"/>
    <w:basedOn w:val="26"/>
    <w:qFormat/>
    <w:uiPriority w:val="0"/>
    <w:rPr>
      <w:color w:val="0000FF"/>
      <w:u w:val="single"/>
    </w:rPr>
  </w:style>
  <w:style w:type="character" w:styleId="31">
    <w:name w:val="annotation reference"/>
    <w:basedOn w:val="26"/>
    <w:semiHidden/>
    <w:unhideWhenUsed/>
    <w:qFormat/>
    <w:uiPriority w:val="99"/>
    <w:rPr>
      <w:sz w:val="21"/>
      <w:szCs w:val="21"/>
    </w:rPr>
  </w:style>
  <w:style w:type="character" w:customStyle="1" w:styleId="32">
    <w:name w:val="标题 1 Char"/>
    <w:basedOn w:val="26"/>
    <w:link w:val="2"/>
    <w:qFormat/>
    <w:uiPriority w:val="9"/>
    <w:rPr>
      <w:rFonts w:ascii="Cambria" w:hAnsi="Cambria" w:cstheme="majorBidi"/>
      <w:b/>
      <w:bCs/>
      <w:color w:val="365F91"/>
      <w:sz w:val="28"/>
      <w:szCs w:val="28"/>
    </w:rPr>
  </w:style>
  <w:style w:type="character" w:customStyle="1" w:styleId="33">
    <w:name w:val="标题 2 Char"/>
    <w:basedOn w:val="26"/>
    <w:link w:val="3"/>
    <w:semiHidden/>
    <w:qFormat/>
    <w:uiPriority w:val="9"/>
    <w:rPr>
      <w:rFonts w:ascii="Cambria" w:hAnsi="Cambria" w:cstheme="majorBidi"/>
      <w:b/>
      <w:bCs/>
      <w:color w:val="4F81BD"/>
      <w:sz w:val="26"/>
      <w:szCs w:val="26"/>
    </w:rPr>
  </w:style>
  <w:style w:type="character" w:customStyle="1" w:styleId="34">
    <w:name w:val="标题 3 Char"/>
    <w:basedOn w:val="26"/>
    <w:link w:val="4"/>
    <w:qFormat/>
    <w:uiPriority w:val="9"/>
    <w:rPr>
      <w:rFonts w:ascii="Cambria" w:hAnsi="Cambria" w:cstheme="majorBidi"/>
      <w:b/>
      <w:bCs/>
      <w:color w:val="4F81BD"/>
    </w:rPr>
  </w:style>
  <w:style w:type="character" w:customStyle="1" w:styleId="35">
    <w:name w:val="标题 4 Char"/>
    <w:basedOn w:val="26"/>
    <w:link w:val="5"/>
    <w:semiHidden/>
    <w:qFormat/>
    <w:uiPriority w:val="9"/>
    <w:rPr>
      <w:rFonts w:ascii="Cambria" w:hAnsi="Cambria" w:cstheme="majorBidi"/>
      <w:b/>
      <w:bCs/>
      <w:i/>
      <w:iCs/>
      <w:color w:val="4F81BD"/>
    </w:rPr>
  </w:style>
  <w:style w:type="character" w:customStyle="1" w:styleId="36">
    <w:name w:val="标题 5 Char"/>
    <w:basedOn w:val="26"/>
    <w:link w:val="6"/>
    <w:semiHidden/>
    <w:qFormat/>
    <w:uiPriority w:val="9"/>
    <w:rPr>
      <w:rFonts w:ascii="Cambria" w:hAnsi="Cambria" w:cstheme="majorBidi"/>
      <w:color w:val="243F60"/>
    </w:rPr>
  </w:style>
  <w:style w:type="character" w:customStyle="1" w:styleId="37">
    <w:name w:val="标题 6 Char"/>
    <w:basedOn w:val="26"/>
    <w:link w:val="7"/>
    <w:semiHidden/>
    <w:qFormat/>
    <w:uiPriority w:val="9"/>
    <w:rPr>
      <w:rFonts w:ascii="Cambria" w:hAnsi="Cambria" w:cstheme="majorBidi"/>
      <w:i/>
      <w:iCs/>
      <w:color w:val="243F60"/>
    </w:rPr>
  </w:style>
  <w:style w:type="character" w:customStyle="1" w:styleId="38">
    <w:name w:val="标题 7 Char"/>
    <w:basedOn w:val="26"/>
    <w:link w:val="8"/>
    <w:semiHidden/>
    <w:qFormat/>
    <w:uiPriority w:val="9"/>
    <w:rPr>
      <w:rFonts w:ascii="Cambria" w:hAnsi="Cambria" w:cstheme="majorBidi"/>
      <w:i/>
      <w:iCs/>
      <w:color w:val="404040"/>
    </w:rPr>
  </w:style>
  <w:style w:type="character" w:customStyle="1" w:styleId="39">
    <w:name w:val="标题 8 Char"/>
    <w:basedOn w:val="26"/>
    <w:link w:val="9"/>
    <w:semiHidden/>
    <w:qFormat/>
    <w:uiPriority w:val="9"/>
    <w:rPr>
      <w:rFonts w:ascii="Cambria" w:hAnsi="Cambria" w:cstheme="majorBidi"/>
      <w:color w:val="4F81BD"/>
    </w:rPr>
  </w:style>
  <w:style w:type="character" w:customStyle="1" w:styleId="40">
    <w:name w:val="标题 9 Char"/>
    <w:basedOn w:val="26"/>
    <w:link w:val="10"/>
    <w:semiHidden/>
    <w:qFormat/>
    <w:uiPriority w:val="9"/>
    <w:rPr>
      <w:rFonts w:ascii="Cambria" w:hAnsi="Cambria" w:cstheme="majorBidi"/>
      <w:i/>
      <w:iCs/>
      <w:color w:val="404040"/>
    </w:rPr>
  </w:style>
  <w:style w:type="character" w:customStyle="1" w:styleId="41">
    <w:name w:val="标题 Char"/>
    <w:basedOn w:val="26"/>
    <w:link w:val="22"/>
    <w:qFormat/>
    <w:uiPriority w:val="10"/>
    <w:rPr>
      <w:rFonts w:ascii="Cambria" w:hAnsi="Cambria" w:cstheme="majorBidi"/>
      <w:color w:val="17365D"/>
      <w:spacing w:val="5"/>
      <w:kern w:val="28"/>
      <w:sz w:val="52"/>
      <w:szCs w:val="52"/>
    </w:rPr>
  </w:style>
  <w:style w:type="character" w:customStyle="1" w:styleId="42">
    <w:name w:val="副标题 Char"/>
    <w:basedOn w:val="26"/>
    <w:link w:val="20"/>
    <w:qFormat/>
    <w:uiPriority w:val="11"/>
    <w:rPr>
      <w:rFonts w:ascii="Cambria" w:hAnsi="Cambria" w:cstheme="majorBidi"/>
      <w:i/>
      <w:iCs/>
      <w:color w:val="4F81BD"/>
      <w:spacing w:val="15"/>
      <w:sz w:val="24"/>
      <w:szCs w:val="24"/>
    </w:rPr>
  </w:style>
  <w:style w:type="paragraph" w:styleId="43">
    <w:name w:val="No Spacing"/>
    <w:qFormat/>
    <w:uiPriority w:val="1"/>
    <w:rPr>
      <w:rFonts w:ascii="Calibri" w:hAnsi="Calibri" w:eastAsia="宋体" w:cs="Times New Roman"/>
      <w:sz w:val="22"/>
      <w:szCs w:val="22"/>
      <w:lang w:val="en-US" w:eastAsia="en-US" w:bidi="en-US"/>
    </w:rPr>
  </w:style>
  <w:style w:type="paragraph" w:styleId="44">
    <w:name w:val="List Paragraph"/>
    <w:basedOn w:val="1"/>
    <w:qFormat/>
    <w:uiPriority w:val="34"/>
    <w:pPr>
      <w:ind w:left="720"/>
      <w:contextualSpacing/>
    </w:pPr>
  </w:style>
  <w:style w:type="paragraph" w:styleId="45">
    <w:name w:val="Quote"/>
    <w:basedOn w:val="1"/>
    <w:next w:val="1"/>
    <w:link w:val="46"/>
    <w:qFormat/>
    <w:uiPriority w:val="29"/>
    <w:rPr>
      <w:i/>
      <w:iCs/>
      <w:color w:val="000000"/>
      <w:sz w:val="20"/>
    </w:rPr>
  </w:style>
  <w:style w:type="character" w:customStyle="1" w:styleId="46">
    <w:name w:val="引用 Char"/>
    <w:basedOn w:val="26"/>
    <w:link w:val="45"/>
    <w:qFormat/>
    <w:uiPriority w:val="29"/>
    <w:rPr>
      <w:i/>
      <w:iCs/>
      <w:color w:val="000000"/>
    </w:rPr>
  </w:style>
  <w:style w:type="paragraph" w:styleId="47">
    <w:name w:val="Intense Quote"/>
    <w:basedOn w:val="1"/>
    <w:next w:val="1"/>
    <w:link w:val="48"/>
    <w:qFormat/>
    <w:uiPriority w:val="30"/>
    <w:pPr>
      <w:pBdr>
        <w:bottom w:val="single" w:color="4F81BD" w:sz="4" w:space="4"/>
      </w:pBdr>
      <w:spacing w:before="200" w:after="280"/>
      <w:ind w:left="936" w:right="936"/>
    </w:pPr>
    <w:rPr>
      <w:b/>
      <w:bCs/>
      <w:i/>
      <w:iCs/>
      <w:color w:val="4F81BD"/>
      <w:sz w:val="20"/>
    </w:rPr>
  </w:style>
  <w:style w:type="character" w:customStyle="1" w:styleId="48">
    <w:name w:val="明显引用 Char"/>
    <w:basedOn w:val="26"/>
    <w:link w:val="47"/>
    <w:qFormat/>
    <w:uiPriority w:val="30"/>
    <w:rPr>
      <w:b/>
      <w:bCs/>
      <w:i/>
      <w:iCs/>
      <w:color w:val="4F81BD"/>
    </w:rPr>
  </w:style>
  <w:style w:type="character" w:customStyle="1" w:styleId="49">
    <w:name w:val="Subtle Emphasis"/>
    <w:basedOn w:val="26"/>
    <w:qFormat/>
    <w:uiPriority w:val="19"/>
    <w:rPr>
      <w:i/>
      <w:iCs/>
      <w:color w:val="808080"/>
    </w:rPr>
  </w:style>
  <w:style w:type="character" w:customStyle="1" w:styleId="50">
    <w:name w:val="Intense Emphasis"/>
    <w:basedOn w:val="26"/>
    <w:qFormat/>
    <w:uiPriority w:val="21"/>
    <w:rPr>
      <w:b/>
      <w:bCs/>
      <w:i/>
      <w:iCs/>
      <w:color w:val="4F81BD"/>
    </w:rPr>
  </w:style>
  <w:style w:type="character" w:customStyle="1" w:styleId="51">
    <w:name w:val="Subtle Reference"/>
    <w:basedOn w:val="26"/>
    <w:qFormat/>
    <w:uiPriority w:val="31"/>
    <w:rPr>
      <w:smallCaps/>
      <w:color w:val="C0504D"/>
      <w:u w:val="single"/>
    </w:rPr>
  </w:style>
  <w:style w:type="character" w:customStyle="1" w:styleId="52">
    <w:name w:val="Intense Reference"/>
    <w:basedOn w:val="26"/>
    <w:qFormat/>
    <w:uiPriority w:val="32"/>
    <w:rPr>
      <w:b/>
      <w:bCs/>
      <w:smallCaps/>
      <w:color w:val="C0504D"/>
      <w:spacing w:val="5"/>
      <w:u w:val="single"/>
    </w:rPr>
  </w:style>
  <w:style w:type="character" w:customStyle="1" w:styleId="53">
    <w:name w:val="Book Title"/>
    <w:basedOn w:val="26"/>
    <w:qFormat/>
    <w:uiPriority w:val="33"/>
    <w:rPr>
      <w:b/>
      <w:bCs/>
      <w:smallCaps/>
      <w:spacing w:val="5"/>
    </w:rPr>
  </w:style>
  <w:style w:type="paragraph" w:customStyle="1" w:styleId="54">
    <w:name w:val="TOC Heading"/>
    <w:basedOn w:val="2"/>
    <w:next w:val="1"/>
    <w:semiHidden/>
    <w:unhideWhenUsed/>
    <w:qFormat/>
    <w:uiPriority w:val="39"/>
    <w:pPr>
      <w:outlineLvl w:val="9"/>
    </w:pPr>
    <w:rPr>
      <w:lang w:eastAsia="en-US" w:bidi="en-US"/>
    </w:rPr>
  </w:style>
  <w:style w:type="character" w:customStyle="1" w:styleId="55">
    <w:name w:val="页眉 Char"/>
    <w:basedOn w:val="26"/>
    <w:link w:val="18"/>
    <w:semiHidden/>
    <w:qFormat/>
    <w:uiPriority w:val="99"/>
    <w:rPr>
      <w:sz w:val="18"/>
      <w:szCs w:val="18"/>
      <w:lang w:eastAsia="en-US" w:bidi="en-US"/>
    </w:rPr>
  </w:style>
  <w:style w:type="character" w:customStyle="1" w:styleId="56">
    <w:name w:val="页脚 Char"/>
    <w:basedOn w:val="26"/>
    <w:link w:val="17"/>
    <w:semiHidden/>
    <w:qFormat/>
    <w:uiPriority w:val="99"/>
    <w:rPr>
      <w:sz w:val="18"/>
      <w:szCs w:val="18"/>
      <w:lang w:eastAsia="en-US" w:bidi="en-US"/>
    </w:rPr>
  </w:style>
  <w:style w:type="character" w:customStyle="1" w:styleId="57">
    <w:name w:val="正文文本 Char"/>
    <w:basedOn w:val="26"/>
    <w:link w:val="14"/>
    <w:qFormat/>
    <w:uiPriority w:val="0"/>
    <w:rPr>
      <w:rFonts w:ascii="楷体_GB2312" w:hAnsi="Times New Roman" w:eastAsia="楷体_GB2312"/>
      <w:kern w:val="2"/>
      <w:sz w:val="21"/>
    </w:rPr>
  </w:style>
  <w:style w:type="character" w:customStyle="1" w:styleId="58">
    <w:name w:val="文档结构图 Char"/>
    <w:basedOn w:val="26"/>
    <w:link w:val="12"/>
    <w:semiHidden/>
    <w:qFormat/>
    <w:uiPriority w:val="99"/>
    <w:rPr>
      <w:rFonts w:ascii="宋体" w:hAnsi="Times New Roman"/>
      <w:kern w:val="2"/>
      <w:sz w:val="18"/>
      <w:szCs w:val="18"/>
    </w:rPr>
  </w:style>
  <w:style w:type="character" w:customStyle="1" w:styleId="59">
    <w:name w:val="批注框文本 Char"/>
    <w:basedOn w:val="26"/>
    <w:link w:val="16"/>
    <w:semiHidden/>
    <w:qFormat/>
    <w:uiPriority w:val="99"/>
    <w:rPr>
      <w:rFonts w:ascii="楷体_GB2312" w:hAnsi="Times New Roman" w:eastAsia="楷体_GB2312"/>
      <w:kern w:val="2"/>
      <w:sz w:val="18"/>
      <w:szCs w:val="18"/>
    </w:rPr>
  </w:style>
  <w:style w:type="character" w:customStyle="1" w:styleId="60">
    <w:name w:val="批注文字 Char"/>
    <w:basedOn w:val="26"/>
    <w:link w:val="13"/>
    <w:semiHidden/>
    <w:qFormat/>
    <w:uiPriority w:val="99"/>
    <w:rPr>
      <w:rFonts w:ascii="楷体_GB2312" w:hAnsi="Times New Roman" w:eastAsia="楷体_GB2312"/>
      <w:kern w:val="2"/>
      <w:sz w:val="24"/>
    </w:rPr>
  </w:style>
  <w:style w:type="character" w:customStyle="1" w:styleId="61">
    <w:name w:val="批注主题 Char"/>
    <w:basedOn w:val="60"/>
    <w:link w:val="23"/>
    <w:semiHidden/>
    <w:qFormat/>
    <w:uiPriority w:val="99"/>
    <w:rPr>
      <w:rFonts w:ascii="楷体_GB2312" w:hAnsi="Times New Roman" w:eastAsia="楷体_GB2312"/>
      <w:b/>
      <w:bCs/>
      <w:kern w:val="2"/>
      <w:sz w:val="24"/>
    </w:rPr>
  </w:style>
  <w:style w:type="paragraph" w:customStyle="1" w:styleId="62">
    <w:name w:val="DM正文"/>
    <w:basedOn w:val="1"/>
    <w:link w:val="63"/>
    <w:qFormat/>
    <w:uiPriority w:val="0"/>
    <w:pPr>
      <w:spacing w:line="276" w:lineRule="auto"/>
      <w:ind w:firstLine="0"/>
      <w:contextualSpacing/>
      <w:jc w:val="left"/>
    </w:pPr>
    <w:rPr>
      <w:rFonts w:ascii="微软雅黑" w:hAnsi="微软雅黑" w:eastAsia="宋体"/>
      <w:sz w:val="21"/>
      <w:szCs w:val="24"/>
    </w:rPr>
  </w:style>
  <w:style w:type="character" w:customStyle="1" w:styleId="63">
    <w:name w:val="DM正文 Char"/>
    <w:link w:val="62"/>
    <w:qFormat/>
    <w:uiPriority w:val="0"/>
    <w:rPr>
      <w:rFonts w:ascii="微软雅黑" w:hAnsi="微软雅黑"/>
      <w:kern w:val="2"/>
      <w:sz w:val="21"/>
      <w:szCs w:val="24"/>
    </w:rPr>
  </w:style>
  <w:style w:type="paragraph" w:customStyle="1" w:styleId="64">
    <w:name w:val="Revision"/>
    <w:hidden/>
    <w:semiHidden/>
    <w:qFormat/>
    <w:uiPriority w:val="99"/>
    <w:rPr>
      <w:rFonts w:ascii="楷体_GB2312" w:hAnsi="Times New Roman" w:eastAsia="楷体_GB2312" w:cs="Times New Roman"/>
      <w:kern w:val="2"/>
      <w:sz w:val="24"/>
      <w:lang w:val="en-US" w:eastAsia="zh-CN" w:bidi="ar-SA"/>
    </w:rPr>
  </w:style>
  <w:style w:type="paragraph" w:customStyle="1" w:styleId="65">
    <w:name w:val="表格标题"/>
    <w:basedOn w:val="1"/>
    <w:qFormat/>
    <w:uiPriority w:val="0"/>
    <w:pPr>
      <w:spacing w:line="240" w:lineRule="auto"/>
      <w:jc w:val="center"/>
    </w:pPr>
    <w:rPr>
      <w:rFonts w:ascii="Times New Roman" w:hAnsi="Times New Roman" w:eastAsia="宋体" w:cs="宋体"/>
      <w:b/>
      <w:bCs/>
      <w:spacing w:val="40"/>
      <w:szCs w:val="20"/>
    </w:rPr>
  </w:style>
  <w:style w:type="character" w:customStyle="1" w:styleId="66">
    <w:name w:val="font11"/>
    <w:basedOn w:val="26"/>
    <w:qFormat/>
    <w:uiPriority w:val="0"/>
    <w:rPr>
      <w:rFonts w:hint="eastAsia" w:ascii="华文细黑" w:hAnsi="华文细黑" w:eastAsia="华文细黑" w:cs="华文细黑"/>
      <w:color w:val="000000"/>
      <w:sz w:val="24"/>
      <w:szCs w:val="24"/>
      <w:u w:val="none"/>
    </w:rPr>
  </w:style>
  <w:style w:type="character" w:customStyle="1" w:styleId="67">
    <w:name w:val="font31"/>
    <w:basedOn w:val="26"/>
    <w:qFormat/>
    <w:uiPriority w:val="0"/>
    <w:rPr>
      <w:rFonts w:hint="eastAsia" w:ascii="华文细黑" w:hAnsi="华文细黑" w:eastAsia="华文细黑" w:cs="华文细黑"/>
      <w:i/>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4A638B-FFFC-4142-A7B9-81F212D82D0D}">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10</Pages>
  <Words>1042</Words>
  <Characters>5946</Characters>
  <Lines>49</Lines>
  <Paragraphs>13</Paragraphs>
  <TotalTime>0</TotalTime>
  <ScaleCrop>false</ScaleCrop>
  <LinksUpToDate>false</LinksUpToDate>
  <CharactersWithSpaces>6975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2017-07-21T08:41:00Z</dcterms:created>
  <dc:creator>CN=王新博/OU=基金业务部/OU=公司总部/O=ChinaClear</dc:creator>
  <cp:lastModifiedBy>user</cp:lastModifiedBy>
  <cp:lastPrinted>2014-07-02T08:02:00Z</cp:lastPrinted>
  <dcterms:modified xsi:type="dcterms:W3CDTF">2024-04-09T09:43:28Z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