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0"/>
          <w:szCs w:val="44"/>
        </w:rPr>
      </w:pPr>
      <w:bookmarkStart w:id="0" w:name="_Toc290989964"/>
      <w:r>
        <w:rPr>
          <w:rFonts w:hint="eastAsia"/>
          <w:sz w:val="40"/>
          <w:szCs w:val="44"/>
        </w:rPr>
        <w:t>中国结算深圳分公司证券转托管业务申请表格</w:t>
      </w:r>
      <w:bookmarkStart w:id="5" w:name="_GoBack"/>
      <w:bookmarkEnd w:id="5"/>
    </w:p>
    <w:p/>
    <w:sdt>
      <w:sdtPr>
        <w:rPr>
          <w:rFonts w:ascii="Times New Roman" w:hAnsi="Times New Roman"/>
          <w:b w:val="0"/>
          <w:bCs w:val="0"/>
          <w:color w:val="auto"/>
          <w:kern w:val="2"/>
          <w:sz w:val="24"/>
          <w:szCs w:val="32"/>
          <w:lang w:val="zh-CN"/>
        </w:rPr>
        <w:id w:val="18471070"/>
        <w:docPartObj>
          <w:docPartGallery w:val="Table of Contents"/>
          <w:docPartUnique/>
        </w:docPartObj>
      </w:sdtPr>
      <w:sdtEndPr>
        <w:rPr>
          <w:rFonts w:ascii="Times New Roman" w:hAnsi="Times New Roman"/>
          <w:b w:val="0"/>
          <w:bCs w:val="0"/>
          <w:color w:val="auto"/>
          <w:kern w:val="2"/>
          <w:sz w:val="32"/>
          <w:szCs w:val="32"/>
          <w:lang w:val="en-US"/>
        </w:rPr>
      </w:sdtEndPr>
      <w:sdtContent>
        <w:p>
          <w:pPr>
            <w:pStyle w:val="27"/>
            <w:jc w:val="center"/>
            <w:rPr>
              <w:rFonts w:ascii="宋体" w:hAnsi="宋体"/>
              <w:sz w:val="36"/>
              <w:szCs w:val="36"/>
            </w:rPr>
          </w:pPr>
          <w:r>
            <w:rPr>
              <w:rFonts w:ascii="宋体" w:hAnsi="宋体"/>
              <w:sz w:val="36"/>
              <w:szCs w:val="36"/>
              <w:lang w:val="zh-CN"/>
            </w:rPr>
            <w:t>目录</w:t>
          </w:r>
        </w:p>
        <w:p>
          <w:pPr>
            <w:pStyle w:val="12"/>
            <w:tabs>
              <w:tab w:val="right" w:leader="dot" w:pos="8834"/>
            </w:tabs>
            <w:rPr>
              <w:rFonts w:hint="eastAsia" w:eastAsia="宋体" w:asciiTheme="minorHAnsi" w:hAnsiTheme="minorHAnsi" w:cstheme="minorBidi"/>
              <w:sz w:val="32"/>
              <w:szCs w:val="32"/>
              <w:lang w:eastAsia="zh-CN"/>
            </w:rPr>
          </w:pPr>
          <w:r>
            <w:rPr>
              <w:rFonts w:ascii="宋体" w:hAnsi="宋体"/>
              <w:sz w:val="32"/>
              <w:szCs w:val="32"/>
            </w:rPr>
            <w:fldChar w:fldCharType="begin"/>
          </w:r>
          <w:r>
            <w:rPr>
              <w:rFonts w:ascii="宋体" w:hAnsi="宋体"/>
              <w:sz w:val="32"/>
              <w:szCs w:val="32"/>
            </w:rPr>
            <w:instrText xml:space="preserve"> TOC \o "1-3" \h \z \u </w:instrText>
          </w:r>
          <w:r>
            <w:rPr>
              <w:rFonts w:ascii="宋体" w:hAnsi="宋体"/>
              <w:sz w:val="32"/>
              <w:szCs w:val="32"/>
            </w:rPr>
            <w:fldChar w:fldCharType="separate"/>
          </w:r>
          <w:r>
            <w:fldChar w:fldCharType="begin"/>
          </w:r>
          <w:r>
            <w:instrText xml:space="preserve"> HYPERLINK \l "_Toc8389490" </w:instrText>
          </w:r>
          <w:r>
            <w:fldChar w:fldCharType="separate"/>
          </w:r>
          <w:r>
            <w:rPr>
              <w:rStyle w:val="22"/>
              <w:rFonts w:hint="eastAsia"/>
              <w:kern w:val="0"/>
              <w:sz w:val="32"/>
              <w:szCs w:val="32"/>
            </w:rPr>
            <w:t>证券整体转托管申请表</w:t>
          </w:r>
          <w:r>
            <w:rPr>
              <w:sz w:val="32"/>
              <w:szCs w:val="32"/>
            </w:rPr>
            <w:tab/>
          </w:r>
          <w:r>
            <w:rPr>
              <w:sz w:val="32"/>
              <w:szCs w:val="32"/>
            </w:rPr>
            <w:fldChar w:fldCharType="end"/>
          </w:r>
          <w:r>
            <w:rPr>
              <w:rFonts w:hint="eastAsia"/>
              <w:sz w:val="32"/>
              <w:szCs w:val="32"/>
              <w:lang w:val="en-US" w:eastAsia="zh-CN"/>
            </w:rPr>
            <w:t>1</w:t>
          </w:r>
        </w:p>
        <w:p>
          <w:pPr>
            <w:pStyle w:val="12"/>
            <w:tabs>
              <w:tab w:val="right" w:leader="dot" w:pos="8834"/>
            </w:tabs>
            <w:rPr>
              <w:rFonts w:asciiTheme="minorHAnsi" w:hAnsiTheme="minorHAnsi" w:eastAsiaTheme="minorEastAsia" w:cstheme="minorBidi"/>
              <w:sz w:val="32"/>
              <w:szCs w:val="32"/>
            </w:rPr>
          </w:pPr>
          <w:r>
            <w:fldChar w:fldCharType="begin"/>
          </w:r>
          <w:r>
            <w:instrText xml:space="preserve"> HYPERLINK \l "_Toc8389491" </w:instrText>
          </w:r>
          <w:r>
            <w:fldChar w:fldCharType="separate"/>
          </w:r>
          <w:r>
            <w:rPr>
              <w:rStyle w:val="22"/>
              <w:rFonts w:hint="eastAsia"/>
              <w:kern w:val="0"/>
              <w:sz w:val="32"/>
              <w:szCs w:val="32"/>
            </w:rPr>
            <w:t>证券调整申请表</w:t>
          </w:r>
          <w:r>
            <w:rPr>
              <w:sz w:val="32"/>
              <w:szCs w:val="32"/>
            </w:rPr>
            <w:tab/>
          </w:r>
          <w:r>
            <w:rPr>
              <w:sz w:val="32"/>
              <w:szCs w:val="32"/>
            </w:rPr>
            <w:fldChar w:fldCharType="begin"/>
          </w:r>
          <w:r>
            <w:rPr>
              <w:sz w:val="32"/>
              <w:szCs w:val="32"/>
            </w:rPr>
            <w:instrText xml:space="preserve"> PAGEREF _Toc8389491 \h </w:instrText>
          </w:r>
          <w:r>
            <w:rPr>
              <w:sz w:val="32"/>
              <w:szCs w:val="32"/>
            </w:rPr>
            <w:fldChar w:fldCharType="separate"/>
          </w:r>
          <w:r>
            <w:rPr>
              <w:sz w:val="32"/>
              <w:szCs w:val="32"/>
            </w:rPr>
            <w:t>3</w:t>
          </w:r>
          <w:r>
            <w:rPr>
              <w:sz w:val="32"/>
              <w:szCs w:val="32"/>
            </w:rPr>
            <w:fldChar w:fldCharType="end"/>
          </w:r>
          <w:r>
            <w:rPr>
              <w:sz w:val="32"/>
              <w:szCs w:val="32"/>
            </w:rPr>
            <w:fldChar w:fldCharType="end"/>
          </w:r>
        </w:p>
        <w:p>
          <w:pPr>
            <w:pStyle w:val="12"/>
            <w:tabs>
              <w:tab w:val="right" w:leader="dot" w:pos="8834"/>
            </w:tabs>
            <w:rPr>
              <w:rFonts w:asciiTheme="minorHAnsi" w:hAnsiTheme="minorHAnsi" w:eastAsiaTheme="minorEastAsia" w:cstheme="minorBidi"/>
              <w:sz w:val="32"/>
              <w:szCs w:val="32"/>
            </w:rPr>
          </w:pPr>
          <w:r>
            <w:fldChar w:fldCharType="begin"/>
          </w:r>
          <w:r>
            <w:instrText xml:space="preserve"> HYPERLINK \l "_Toc8389492" </w:instrText>
          </w:r>
          <w:r>
            <w:fldChar w:fldCharType="separate"/>
          </w:r>
          <w:r>
            <w:rPr>
              <w:rStyle w:val="22"/>
              <w:rFonts w:hint="eastAsia"/>
              <w:kern w:val="0"/>
              <w:sz w:val="32"/>
              <w:szCs w:val="32"/>
            </w:rPr>
            <w:t>证券登记托管单元错误调整申请书</w:t>
          </w:r>
          <w:r>
            <w:rPr>
              <w:sz w:val="32"/>
              <w:szCs w:val="32"/>
            </w:rPr>
            <w:tab/>
          </w:r>
          <w:r>
            <w:rPr>
              <w:sz w:val="32"/>
              <w:szCs w:val="32"/>
            </w:rPr>
            <w:fldChar w:fldCharType="begin"/>
          </w:r>
          <w:r>
            <w:rPr>
              <w:sz w:val="32"/>
              <w:szCs w:val="32"/>
            </w:rPr>
            <w:instrText xml:space="preserve"> PAGEREF _Toc8389492 \h </w:instrText>
          </w:r>
          <w:r>
            <w:rPr>
              <w:sz w:val="32"/>
              <w:szCs w:val="32"/>
            </w:rPr>
            <w:fldChar w:fldCharType="separate"/>
          </w:r>
          <w:r>
            <w:rPr>
              <w:sz w:val="32"/>
              <w:szCs w:val="32"/>
            </w:rPr>
            <w:t>4</w:t>
          </w:r>
          <w:r>
            <w:rPr>
              <w:sz w:val="32"/>
              <w:szCs w:val="32"/>
            </w:rPr>
            <w:fldChar w:fldCharType="end"/>
          </w:r>
          <w:r>
            <w:rPr>
              <w:sz w:val="32"/>
              <w:szCs w:val="32"/>
            </w:rPr>
            <w:fldChar w:fldCharType="end"/>
          </w:r>
        </w:p>
        <w:p>
          <w:pPr>
            <w:rPr>
              <w:sz w:val="32"/>
              <w:szCs w:val="32"/>
            </w:rPr>
          </w:pPr>
          <w:r>
            <w:rPr>
              <w:rFonts w:ascii="宋体" w:hAnsi="宋体"/>
              <w:sz w:val="32"/>
              <w:szCs w:val="32"/>
            </w:rPr>
            <w:fldChar w:fldCharType="end"/>
          </w:r>
        </w:p>
      </w:sdtContent>
    </w:sdt>
    <w:p>
      <w:pPr>
        <w:rPr>
          <w:sz w:val="24"/>
        </w:rPr>
      </w:pPr>
    </w:p>
    <w:p>
      <w:pPr>
        <w:rPr>
          <w:sz w:val="24"/>
        </w:rPr>
      </w:pPr>
    </w:p>
    <w:p>
      <w:pPr>
        <w:rPr>
          <w:sz w:val="24"/>
        </w:rPr>
      </w:pPr>
    </w:p>
    <w:p>
      <w:pPr>
        <w:rPr>
          <w:sz w:val="24"/>
        </w:rPr>
      </w:pPr>
    </w:p>
    <w:p>
      <w:pPr>
        <w:widowControl/>
        <w:ind w:right="4587"/>
        <w:rPr>
          <w:rFonts w:ascii="宋体" w:hAnsi="宋体"/>
          <w:color w:val="000000"/>
          <w:sz w:val="28"/>
          <w:szCs w:val="28"/>
        </w:rPr>
      </w:pPr>
      <w:r>
        <w:rPr>
          <w:b/>
        </w:rPr>
        <w:br w:type="page"/>
      </w:r>
    </w:p>
    <w:p>
      <w:pPr>
        <w:rPr>
          <w:rFonts w:ascii="宋体" w:hAnsi="宋体"/>
          <w:sz w:val="28"/>
          <w:szCs w:val="28"/>
        </w:rPr>
      </w:pPr>
      <w:r>
        <w:rPr>
          <w:rFonts w:hint="eastAsia" w:ascii="宋体" w:hAnsi="宋体"/>
          <w:sz w:val="28"/>
          <w:szCs w:val="28"/>
        </w:rPr>
        <w:t>表格</w:t>
      </w:r>
      <w:r>
        <w:rPr>
          <w:rFonts w:hint="eastAsia" w:ascii="宋体" w:hAnsi="宋体"/>
          <w:sz w:val="28"/>
          <w:szCs w:val="28"/>
          <w:lang w:val="en-US" w:eastAsia="zh-CN"/>
        </w:rPr>
        <w:t>1</w:t>
      </w:r>
      <w:r>
        <w:rPr>
          <w:rFonts w:hint="eastAsia" w:ascii="宋体" w:hAnsi="宋体"/>
          <w:sz w:val="28"/>
          <w:szCs w:val="28"/>
        </w:rPr>
        <w:t>：</w:t>
      </w:r>
      <w:bookmarkEnd w:id="0"/>
    </w:p>
    <w:p>
      <w:pPr>
        <w:pStyle w:val="17"/>
        <w:rPr>
          <w:kern w:val="0"/>
        </w:rPr>
      </w:pPr>
      <w:bookmarkStart w:id="1" w:name="_Toc8389490"/>
      <w:bookmarkStart w:id="2" w:name="_Toc290989965"/>
      <w:r>
        <w:rPr>
          <w:rFonts w:hint="eastAsia"/>
          <w:kern w:val="0"/>
        </w:rPr>
        <w:t>证券整体转托管申请表</w:t>
      </w:r>
      <w:bookmarkEnd w:id="1"/>
    </w:p>
    <w:tbl>
      <w:tblPr>
        <w:tblStyle w:val="18"/>
        <w:tblW w:w="8840" w:type="dxa"/>
        <w:tblInd w:w="-8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27"/>
        <w:gridCol w:w="1701"/>
        <w:gridCol w:w="1134"/>
        <w:gridCol w:w="1701"/>
        <w:gridCol w:w="1418"/>
        <w:gridCol w:w="15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1" w:hRule="atLeast"/>
        </w:trPr>
        <w:tc>
          <w:tcPr>
            <w:tcW w:w="8840" w:type="dxa"/>
            <w:gridSpan w:val="6"/>
            <w:tcBorders>
              <w:top w:val="single" w:color="auto" w:sz="4" w:space="0"/>
              <w:left w:val="single" w:color="auto" w:sz="4" w:space="0"/>
              <w:bottom w:val="single" w:color="auto" w:sz="4" w:space="0"/>
              <w:right w:val="single" w:color="auto" w:sz="4" w:space="0"/>
            </w:tcBorders>
            <w:shd w:val="clear" w:color="auto" w:fill="BEBEBE" w:themeFill="background1" w:themeFillShade="BF"/>
            <w:vAlign w:val="center"/>
          </w:tcPr>
          <w:p>
            <w:pPr>
              <w:rPr>
                <w:rFonts w:ascii="宋体" w:hAnsi="宋体"/>
                <w:sz w:val="24"/>
              </w:rPr>
            </w:pPr>
            <w:r>
              <w:rPr>
                <w:rFonts w:hint="eastAsia" w:ascii="宋体" w:hAnsi="宋体"/>
                <w:b/>
                <w:sz w:val="24"/>
              </w:rPr>
              <w:t>请在填表之前认真阅读此表背面的“特别提示”，确认无异议后填写。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132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转出托管</w:t>
            </w:r>
          </w:p>
          <w:p>
            <w:pPr>
              <w:rPr>
                <w:rFonts w:ascii="宋体" w:hAnsi="宋体"/>
                <w:sz w:val="24"/>
              </w:rPr>
            </w:pPr>
            <w:r>
              <w:rPr>
                <w:rFonts w:hint="eastAsia" w:ascii="宋体" w:hAnsi="宋体"/>
                <w:sz w:val="24"/>
              </w:rPr>
              <w:t>单元编码</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托管单</w:t>
            </w:r>
          </w:p>
          <w:p>
            <w:pPr>
              <w:rPr>
                <w:rFonts w:ascii="宋体" w:hAnsi="宋体"/>
                <w:sz w:val="24"/>
              </w:rPr>
            </w:pPr>
            <w:r>
              <w:rPr>
                <w:rFonts w:hint="eastAsia" w:ascii="宋体" w:hAnsi="宋体"/>
                <w:sz w:val="24"/>
              </w:rPr>
              <w:t>元名称</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对应资金</w:t>
            </w:r>
          </w:p>
          <w:p>
            <w:pPr>
              <w:rPr>
                <w:rFonts w:ascii="宋体" w:hAnsi="宋体"/>
                <w:sz w:val="24"/>
              </w:rPr>
            </w:pPr>
            <w:r>
              <w:rPr>
                <w:rFonts w:hint="eastAsia" w:ascii="宋体" w:hAnsi="宋体"/>
                <w:sz w:val="24"/>
              </w:rPr>
              <w:t>结算账户号</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132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转入托管</w:t>
            </w:r>
          </w:p>
          <w:p>
            <w:pPr>
              <w:rPr>
                <w:rFonts w:ascii="宋体" w:hAnsi="宋体"/>
                <w:sz w:val="24"/>
              </w:rPr>
            </w:pPr>
            <w:r>
              <w:rPr>
                <w:rFonts w:hint="eastAsia" w:ascii="宋体" w:hAnsi="宋体"/>
                <w:sz w:val="24"/>
              </w:rPr>
              <w:t>单元编码</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托管单</w:t>
            </w:r>
          </w:p>
          <w:p>
            <w:pPr>
              <w:rPr>
                <w:rFonts w:ascii="宋体" w:hAnsi="宋体"/>
                <w:sz w:val="24"/>
              </w:rPr>
            </w:pPr>
            <w:r>
              <w:rPr>
                <w:rFonts w:hint="eastAsia" w:ascii="宋体" w:hAnsi="宋体"/>
                <w:sz w:val="24"/>
              </w:rPr>
              <w:t>元名称</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对应资金</w:t>
            </w:r>
          </w:p>
          <w:p>
            <w:pPr>
              <w:rPr>
                <w:rFonts w:ascii="宋体" w:hAnsi="宋体"/>
                <w:sz w:val="24"/>
              </w:rPr>
            </w:pPr>
            <w:r>
              <w:rPr>
                <w:rFonts w:hint="eastAsia" w:ascii="宋体" w:hAnsi="宋体"/>
                <w:sz w:val="24"/>
              </w:rPr>
              <w:t>结算账户号</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32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转托管</w:t>
            </w:r>
          </w:p>
          <w:p>
            <w:pPr>
              <w:rPr>
                <w:rFonts w:ascii="宋体" w:hAnsi="宋体"/>
                <w:sz w:val="24"/>
              </w:rPr>
            </w:pPr>
            <w:r>
              <w:rPr>
                <w:rFonts w:hint="eastAsia" w:ascii="宋体" w:hAnsi="宋体"/>
                <w:sz w:val="24"/>
              </w:rPr>
              <w:t>户数</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p>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电话</w:t>
            </w:r>
          </w:p>
          <w:p>
            <w:pPr>
              <w:rPr>
                <w:rFonts w:ascii="宋体" w:hAnsi="宋体"/>
                <w:sz w:val="24"/>
              </w:rPr>
            </w:pPr>
            <w:r>
              <w:rPr>
                <w:rFonts w:hint="eastAsia" w:ascii="宋体" w:hAnsi="宋体"/>
                <w:sz w:val="24"/>
              </w:rPr>
              <w:t>传真</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联系人</w:t>
            </w:r>
          </w:p>
        </w:tc>
        <w:tc>
          <w:tcPr>
            <w:tcW w:w="155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1327"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转托管</w:t>
            </w:r>
          </w:p>
          <w:p>
            <w:pPr>
              <w:rPr>
                <w:rFonts w:ascii="宋体" w:hAnsi="宋体"/>
                <w:sz w:val="24"/>
              </w:rPr>
            </w:pPr>
            <w:r>
              <w:rPr>
                <w:rFonts w:hint="eastAsia" w:ascii="宋体" w:hAnsi="宋体"/>
                <w:sz w:val="24"/>
              </w:rPr>
              <w:t>日期</w:t>
            </w:r>
          </w:p>
        </w:tc>
        <w:tc>
          <w:tcPr>
            <w:tcW w:w="1701"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p>
        </w:tc>
        <w:tc>
          <w:tcPr>
            <w:tcW w:w="11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证券类别</w:t>
            </w:r>
          </w:p>
        </w:tc>
        <w:tc>
          <w:tcPr>
            <w:tcW w:w="4678"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 xml:space="preserve">□A股/债券/基金 </w:t>
            </w:r>
          </w:p>
          <w:p>
            <w:pPr>
              <w:rPr>
                <w:rFonts w:ascii="宋体" w:hAnsi="宋体"/>
                <w:sz w:val="24"/>
              </w:rPr>
            </w:pPr>
            <w:r>
              <w:rPr>
                <w:rFonts w:hint="eastAsia" w:ascii="宋体" w:hAnsi="宋体"/>
                <w:sz w:val="24"/>
              </w:rPr>
              <w:t>□B股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08" w:hRule="atLeast"/>
        </w:trPr>
        <w:tc>
          <w:tcPr>
            <w:tcW w:w="1327" w:type="dxa"/>
            <w:tcBorders>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业务类别</w:t>
            </w:r>
          </w:p>
        </w:tc>
        <w:tc>
          <w:tcPr>
            <w:tcW w:w="7513" w:type="dxa"/>
            <w:gridSpan w:val="5"/>
            <w:tcBorders>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□关闭     □转让     □合并     □其他___________</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94" w:hRule="atLeast"/>
        </w:trPr>
        <w:tc>
          <w:tcPr>
            <w:tcW w:w="1327" w:type="dxa"/>
            <w:tcBorders>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转托管原因说明</w:t>
            </w:r>
          </w:p>
        </w:tc>
        <w:tc>
          <w:tcPr>
            <w:tcW w:w="7513" w:type="dxa"/>
            <w:gridSpan w:val="5"/>
            <w:tcBorders>
              <w:left w:val="single" w:color="auto" w:sz="4" w:space="0"/>
              <w:bottom w:val="single" w:color="auto" w:sz="4" w:space="0"/>
              <w:right w:val="single" w:color="auto" w:sz="4" w:space="0"/>
            </w:tcBorders>
            <w:vAlign w:val="center"/>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3" w:hRule="atLeast"/>
        </w:trPr>
        <w:tc>
          <w:tcPr>
            <w:tcW w:w="4162" w:type="dxa"/>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转出方经办人签名：</w:t>
            </w:r>
          </w:p>
          <w:p>
            <w:pPr>
              <w:spacing w:line="360" w:lineRule="auto"/>
              <w:rPr>
                <w:rFonts w:ascii="宋体" w:hAnsi="宋体"/>
                <w:sz w:val="24"/>
              </w:rPr>
            </w:pPr>
          </w:p>
          <w:p>
            <w:pPr>
              <w:spacing w:line="360" w:lineRule="auto"/>
              <w:rPr>
                <w:rFonts w:ascii="宋体" w:hAnsi="宋体"/>
                <w:sz w:val="24"/>
              </w:rPr>
            </w:pPr>
          </w:p>
          <w:p>
            <w:pPr>
              <w:spacing w:line="360" w:lineRule="auto"/>
              <w:ind w:firstLine="2040" w:firstLineChars="850"/>
              <w:rPr>
                <w:rFonts w:ascii="宋体" w:hAnsi="宋体"/>
                <w:sz w:val="24"/>
              </w:rPr>
            </w:pPr>
            <w:r>
              <w:rPr>
                <w:rFonts w:hint="eastAsia" w:ascii="宋体" w:hAnsi="宋体"/>
                <w:sz w:val="24"/>
              </w:rPr>
              <w:t>法人公章：</w:t>
            </w:r>
          </w:p>
          <w:p>
            <w:pPr>
              <w:spacing w:line="360" w:lineRule="auto"/>
              <w:rPr>
                <w:rFonts w:ascii="宋体" w:hAnsi="宋体"/>
                <w:sz w:val="24"/>
              </w:rPr>
            </w:pPr>
          </w:p>
          <w:p>
            <w:pPr>
              <w:spacing w:line="360" w:lineRule="auto"/>
              <w:rPr>
                <w:rFonts w:ascii="宋体" w:hAnsi="宋体"/>
                <w:sz w:val="24"/>
              </w:rPr>
            </w:pPr>
          </w:p>
          <w:p>
            <w:pPr>
              <w:spacing w:line="360" w:lineRule="auto"/>
              <w:ind w:firstLine="2040" w:firstLineChars="850"/>
              <w:rPr>
                <w:rFonts w:ascii="宋体" w:hAnsi="宋体"/>
                <w:sz w:val="24"/>
              </w:rPr>
            </w:pPr>
            <w:r>
              <w:rPr>
                <w:rFonts w:hint="eastAsia" w:ascii="宋体" w:hAnsi="宋体"/>
                <w:sz w:val="24"/>
              </w:rPr>
              <w:t>年  月  日</w:t>
            </w:r>
          </w:p>
        </w:tc>
        <w:tc>
          <w:tcPr>
            <w:tcW w:w="4678" w:type="dxa"/>
            <w:gridSpan w:val="3"/>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4"/>
              </w:rPr>
            </w:pPr>
            <w:r>
              <w:rPr>
                <w:rFonts w:hint="eastAsia" w:ascii="宋体" w:hAnsi="宋体"/>
                <w:sz w:val="24"/>
              </w:rPr>
              <w:t>转入方经办人签名：</w:t>
            </w:r>
          </w:p>
          <w:p>
            <w:pPr>
              <w:spacing w:line="360" w:lineRule="auto"/>
              <w:rPr>
                <w:rFonts w:ascii="宋体" w:hAnsi="宋体"/>
                <w:sz w:val="24"/>
              </w:rPr>
            </w:pPr>
          </w:p>
          <w:p>
            <w:pPr>
              <w:spacing w:line="360" w:lineRule="auto"/>
              <w:rPr>
                <w:rFonts w:ascii="宋体" w:hAnsi="宋体"/>
                <w:sz w:val="24"/>
              </w:rPr>
            </w:pPr>
          </w:p>
          <w:p>
            <w:pPr>
              <w:spacing w:line="360" w:lineRule="auto"/>
              <w:ind w:firstLine="2400" w:firstLineChars="1000"/>
              <w:rPr>
                <w:rFonts w:ascii="宋体" w:hAnsi="宋体"/>
                <w:sz w:val="24"/>
              </w:rPr>
            </w:pPr>
            <w:r>
              <w:rPr>
                <w:rFonts w:hint="eastAsia" w:ascii="宋体" w:hAnsi="宋体"/>
                <w:sz w:val="24"/>
              </w:rPr>
              <w:t>法人公章：</w:t>
            </w:r>
          </w:p>
          <w:p>
            <w:pPr>
              <w:spacing w:line="360" w:lineRule="auto"/>
              <w:rPr>
                <w:rFonts w:ascii="宋体" w:hAnsi="宋体"/>
                <w:sz w:val="24"/>
              </w:rPr>
            </w:pPr>
          </w:p>
          <w:p>
            <w:pPr>
              <w:spacing w:line="360" w:lineRule="auto"/>
              <w:rPr>
                <w:rFonts w:ascii="宋体" w:hAnsi="宋体"/>
                <w:sz w:val="24"/>
              </w:rPr>
            </w:pPr>
          </w:p>
          <w:p>
            <w:pPr>
              <w:spacing w:line="360" w:lineRule="auto"/>
              <w:ind w:firstLine="2400" w:firstLineChars="1000"/>
              <w:rPr>
                <w:rFonts w:ascii="宋体" w:hAnsi="宋体"/>
                <w:sz w:val="24"/>
              </w:rPr>
            </w:pPr>
            <w:r>
              <w:rPr>
                <w:rFonts w:hint="eastAsia" w:ascii="宋体" w:hAnsi="宋体"/>
                <w:sz w:val="24"/>
              </w:rPr>
              <w:t>年  月  日</w:t>
            </w:r>
          </w:p>
        </w:tc>
      </w:tr>
    </w:tbl>
    <w:p>
      <w:pPr>
        <w:rPr>
          <w:rFonts w:ascii="宋体" w:hAnsi="宋体"/>
          <w:sz w:val="24"/>
        </w:rPr>
      </w:pPr>
      <w:r>
        <w:rPr>
          <w:rFonts w:hint="eastAsia" w:ascii="宋体" w:hAnsi="宋体"/>
          <w:sz w:val="24"/>
        </w:rPr>
        <w:t>通讯地址：中国证券登记结算有限责任公司深圳分公司发行人业务部</w:t>
      </w:r>
    </w:p>
    <w:p>
      <w:pPr>
        <w:rPr>
          <w:rFonts w:ascii="宋体" w:hAnsi="宋体"/>
          <w:sz w:val="24"/>
        </w:rPr>
      </w:pPr>
      <w:r>
        <w:rPr>
          <w:rFonts w:hint="eastAsia" w:ascii="宋体" w:hAnsi="宋体"/>
          <w:sz w:val="24"/>
        </w:rPr>
        <w:t>深圳市深南大道2012号深圳证券交易所广场25层  邮编：518038</w:t>
      </w:r>
      <w:r>
        <w:rPr>
          <w:rFonts w:ascii="宋体" w:hAnsi="宋体"/>
          <w:sz w:val="24"/>
        </w:rPr>
        <w:t xml:space="preserve"> </w:t>
      </w:r>
    </w:p>
    <w:p>
      <w:pPr>
        <w:rPr>
          <w:rFonts w:ascii="宋体" w:hAnsi="宋体"/>
          <w:sz w:val="24"/>
        </w:rPr>
      </w:pPr>
      <w:r>
        <w:rPr>
          <w:rFonts w:hint="eastAsia" w:ascii="宋体" w:hAnsi="宋体"/>
          <w:sz w:val="24"/>
        </w:rPr>
        <w:t>咨询电话：0755-21899306</w:t>
      </w:r>
    </w:p>
    <w:p>
      <w:pPr>
        <w:rPr>
          <w:rFonts w:ascii="宋体" w:hAnsi="宋体"/>
          <w:sz w:val="24"/>
        </w:rPr>
      </w:pPr>
      <w:r>
        <w:rPr>
          <w:rFonts w:hint="eastAsia" w:ascii="宋体" w:hAnsi="宋体"/>
          <w:sz w:val="24"/>
        </w:rPr>
        <w:t>客服咨询：4008058058</w:t>
      </w:r>
    </w:p>
    <w:p>
      <w:pPr>
        <w:pStyle w:val="17"/>
        <w:rPr>
          <w:kern w:val="0"/>
        </w:rPr>
      </w:pPr>
    </w:p>
    <w:p>
      <w:pPr>
        <w:pStyle w:val="17"/>
        <w:rPr>
          <w:kern w:val="0"/>
        </w:rPr>
      </w:pPr>
    </w:p>
    <w:p/>
    <w:p>
      <w:pPr>
        <w:jc w:val="center"/>
        <w:rPr>
          <w:b/>
          <w:kern w:val="0"/>
          <w:sz w:val="32"/>
          <w:szCs w:val="32"/>
        </w:rPr>
      </w:pPr>
      <w:r>
        <w:rPr>
          <w:rFonts w:hint="eastAsia"/>
          <w:b/>
          <w:kern w:val="0"/>
          <w:sz w:val="32"/>
          <w:szCs w:val="32"/>
        </w:rPr>
        <w:t>特别提示</w:t>
      </w:r>
    </w:p>
    <w:p>
      <w:pPr>
        <w:ind w:firstLine="480" w:firstLineChars="200"/>
        <w:jc w:val="center"/>
        <w:rPr>
          <w:rFonts w:ascii="宋体" w:hAnsi="宋体"/>
          <w:sz w:val="24"/>
        </w:rPr>
      </w:pPr>
    </w:p>
    <w:p>
      <w:pPr>
        <w:ind w:firstLine="480" w:firstLineChars="200"/>
        <w:rPr>
          <w:rFonts w:ascii="宋体" w:hAnsi="宋体"/>
          <w:sz w:val="24"/>
        </w:rPr>
      </w:pPr>
      <w:r>
        <w:rPr>
          <w:rFonts w:hint="eastAsia" w:ascii="宋体" w:hAnsi="宋体"/>
          <w:sz w:val="24"/>
        </w:rPr>
        <w:t>一、证券整体转托管原则上只适用于同一法人下不同托管单元之间的证券整体转移，申请人须确认转出托管单元与转入托管单元属于同一法人且资金结算账户号一致。</w:t>
      </w:r>
      <w:r>
        <w:rPr>
          <w:rFonts w:ascii="宋体" w:hAnsi="宋体"/>
          <w:sz w:val="24"/>
        </w:rPr>
        <w:t>转出托管单元与转入托管单元不属于同一</w:t>
      </w:r>
      <w:r>
        <w:rPr>
          <w:rFonts w:hint="eastAsia" w:ascii="宋体" w:hAnsi="宋体"/>
          <w:sz w:val="24"/>
        </w:rPr>
        <w:t>法人的，</w:t>
      </w:r>
      <w:r>
        <w:rPr>
          <w:rFonts w:ascii="宋体" w:hAnsi="宋体"/>
          <w:sz w:val="24"/>
        </w:rPr>
        <w:t>需提交</w:t>
      </w:r>
      <w:r>
        <w:rPr>
          <w:rFonts w:hint="eastAsia" w:ascii="宋体" w:hAnsi="宋体"/>
          <w:sz w:val="24"/>
        </w:rPr>
        <w:t>证券监管部门出具的</w:t>
      </w:r>
      <w:r>
        <w:rPr>
          <w:rFonts w:ascii="宋体" w:hAnsi="宋体"/>
          <w:sz w:val="24"/>
        </w:rPr>
        <w:t>关于同意托管单元关、停、并、转的批文</w:t>
      </w:r>
      <w:r>
        <w:rPr>
          <w:rFonts w:hint="eastAsia" w:ascii="宋体" w:hAnsi="宋体"/>
          <w:sz w:val="24"/>
        </w:rPr>
        <w:t>。不能提供相关批文</w:t>
      </w:r>
      <w:r>
        <w:rPr>
          <w:rFonts w:ascii="宋体" w:hAnsi="宋体"/>
          <w:sz w:val="24"/>
        </w:rPr>
        <w:t>的，转入</w:t>
      </w:r>
      <w:r>
        <w:rPr>
          <w:rFonts w:hint="eastAsia" w:ascii="宋体" w:hAnsi="宋体"/>
          <w:sz w:val="24"/>
        </w:rPr>
        <w:t>方需提交</w:t>
      </w:r>
      <w:r>
        <w:rPr>
          <w:rFonts w:ascii="宋体" w:hAnsi="宋体"/>
          <w:sz w:val="24"/>
        </w:rPr>
        <w:t>同意承接相关在途证券和资金交收责任的</w:t>
      </w:r>
      <w:r>
        <w:rPr>
          <w:rFonts w:hint="eastAsia" w:ascii="宋体" w:hAnsi="宋体"/>
          <w:sz w:val="24"/>
        </w:rPr>
        <w:t>确认函</w:t>
      </w:r>
      <w:r>
        <w:rPr>
          <w:rFonts w:ascii="宋体" w:hAnsi="宋体"/>
          <w:sz w:val="24"/>
        </w:rPr>
        <w:t>。</w:t>
      </w:r>
    </w:p>
    <w:p>
      <w:pPr>
        <w:ind w:firstLine="480" w:firstLineChars="200"/>
        <w:rPr>
          <w:rFonts w:ascii="宋体" w:hAnsi="宋体"/>
          <w:sz w:val="24"/>
        </w:rPr>
      </w:pPr>
      <w:r>
        <w:rPr>
          <w:rFonts w:hint="eastAsia" w:ascii="宋体" w:hAnsi="宋体"/>
          <w:sz w:val="24"/>
        </w:rPr>
        <w:t>二、转移至转入方托管单元的数据包括但并不限于如下：</w:t>
      </w:r>
    </w:p>
    <w:p>
      <w:pPr>
        <w:ind w:firstLine="480" w:firstLineChars="200"/>
        <w:rPr>
          <w:rFonts w:ascii="宋体" w:hAnsi="宋体"/>
          <w:sz w:val="24"/>
        </w:rPr>
      </w:pPr>
      <w:r>
        <w:rPr>
          <w:rFonts w:hint="eastAsia" w:ascii="宋体" w:hAnsi="宋体"/>
          <w:sz w:val="24"/>
        </w:rPr>
        <w:t>（一）存量权益</w:t>
      </w:r>
    </w:p>
    <w:p>
      <w:pPr>
        <w:ind w:firstLine="480" w:firstLineChars="200"/>
        <w:rPr>
          <w:rFonts w:ascii="宋体" w:hAnsi="宋体"/>
          <w:sz w:val="24"/>
        </w:rPr>
      </w:pPr>
      <w:r>
        <w:rPr>
          <w:rFonts w:hint="eastAsia" w:ascii="宋体" w:hAnsi="宋体"/>
          <w:sz w:val="24"/>
        </w:rPr>
        <w:t>1、登记证券余额（即证券库，包括T日交收到账的证券）</w:t>
      </w:r>
    </w:p>
    <w:p>
      <w:pPr>
        <w:ind w:firstLine="480" w:firstLineChars="200"/>
        <w:rPr>
          <w:rFonts w:ascii="宋体" w:hAnsi="宋体"/>
          <w:sz w:val="24"/>
        </w:rPr>
      </w:pPr>
      <w:r>
        <w:rPr>
          <w:rFonts w:hint="eastAsia" w:ascii="宋体" w:hAnsi="宋体"/>
          <w:sz w:val="24"/>
        </w:rPr>
        <w:t>2、冻结数据</w:t>
      </w:r>
    </w:p>
    <w:p>
      <w:pPr>
        <w:ind w:firstLine="480" w:firstLineChars="200"/>
        <w:rPr>
          <w:rFonts w:ascii="宋体" w:hAnsi="宋体"/>
          <w:sz w:val="24"/>
        </w:rPr>
      </w:pPr>
      <w:r>
        <w:rPr>
          <w:rFonts w:hint="eastAsia" w:ascii="宋体" w:hAnsi="宋体"/>
          <w:sz w:val="24"/>
        </w:rPr>
        <w:t>（二）在途权益</w:t>
      </w:r>
    </w:p>
    <w:p>
      <w:pPr>
        <w:ind w:firstLine="480" w:firstLineChars="200"/>
        <w:rPr>
          <w:rFonts w:ascii="宋体" w:hAnsi="宋体"/>
          <w:sz w:val="24"/>
        </w:rPr>
      </w:pPr>
      <w:r>
        <w:rPr>
          <w:rFonts w:hint="eastAsia" w:ascii="宋体" w:hAnsi="宋体"/>
          <w:sz w:val="24"/>
        </w:rPr>
        <w:t>1、T+1交收品种（如权证）的交易在途数据、净卖出锁定数据</w:t>
      </w:r>
    </w:p>
    <w:p>
      <w:pPr>
        <w:ind w:firstLine="480" w:firstLineChars="200"/>
        <w:rPr>
          <w:rFonts w:ascii="宋体" w:hAnsi="宋体"/>
          <w:sz w:val="24"/>
        </w:rPr>
      </w:pPr>
      <w:r>
        <w:rPr>
          <w:rFonts w:hint="eastAsia" w:ascii="宋体" w:hAnsi="宋体"/>
          <w:sz w:val="24"/>
        </w:rPr>
        <w:t>2、要约收购预受要约数据</w:t>
      </w:r>
    </w:p>
    <w:p>
      <w:pPr>
        <w:ind w:firstLine="480" w:firstLineChars="200"/>
        <w:rPr>
          <w:rFonts w:ascii="宋体" w:hAnsi="宋体"/>
          <w:sz w:val="24"/>
        </w:rPr>
      </w:pPr>
      <w:r>
        <w:rPr>
          <w:rFonts w:hint="eastAsia" w:ascii="宋体" w:hAnsi="宋体"/>
          <w:sz w:val="24"/>
        </w:rPr>
        <w:t>3、LOF申购/赎回在途数据、净赎回锁定数据</w:t>
      </w:r>
    </w:p>
    <w:p>
      <w:pPr>
        <w:ind w:firstLine="480" w:firstLineChars="200"/>
        <w:rPr>
          <w:rFonts w:ascii="宋体" w:hAnsi="宋体"/>
          <w:sz w:val="24"/>
        </w:rPr>
      </w:pPr>
      <w:r>
        <w:rPr>
          <w:rFonts w:hint="eastAsia" w:ascii="宋体" w:hAnsi="宋体"/>
          <w:sz w:val="24"/>
        </w:rPr>
        <w:t>4、配股认购数据</w:t>
      </w:r>
    </w:p>
    <w:p>
      <w:pPr>
        <w:ind w:firstLine="480" w:firstLineChars="200"/>
        <w:rPr>
          <w:rFonts w:ascii="宋体" w:hAnsi="宋体"/>
          <w:sz w:val="24"/>
        </w:rPr>
      </w:pPr>
      <w:r>
        <w:rPr>
          <w:rFonts w:hint="eastAsia" w:ascii="宋体" w:hAnsi="宋体"/>
          <w:sz w:val="24"/>
        </w:rPr>
        <w:t>5、已完成新股发行尚未登记到账的证券数据</w:t>
      </w:r>
    </w:p>
    <w:p>
      <w:pPr>
        <w:ind w:firstLine="480" w:firstLineChars="200"/>
        <w:rPr>
          <w:rFonts w:ascii="宋体" w:hAnsi="宋体"/>
          <w:sz w:val="24"/>
        </w:rPr>
      </w:pPr>
      <w:r>
        <w:rPr>
          <w:rFonts w:hint="eastAsia" w:ascii="宋体" w:hAnsi="宋体"/>
          <w:sz w:val="24"/>
        </w:rPr>
        <w:t>6、尚未完成结算的可转债回售数据</w:t>
      </w:r>
    </w:p>
    <w:p>
      <w:pPr>
        <w:ind w:firstLine="480" w:firstLineChars="200"/>
        <w:rPr>
          <w:rFonts w:ascii="宋体" w:hAnsi="宋体"/>
          <w:sz w:val="24"/>
        </w:rPr>
      </w:pPr>
      <w:r>
        <w:rPr>
          <w:rFonts w:hint="eastAsia" w:ascii="宋体" w:hAnsi="宋体"/>
          <w:sz w:val="24"/>
        </w:rPr>
        <w:t>7、股权登记日为当日的红股、股息等权益</w:t>
      </w:r>
    </w:p>
    <w:p>
      <w:pPr>
        <w:ind w:firstLine="480" w:firstLineChars="200"/>
        <w:rPr>
          <w:rFonts w:ascii="宋体" w:hAnsi="宋体"/>
          <w:sz w:val="24"/>
        </w:rPr>
      </w:pPr>
      <w:r>
        <w:rPr>
          <w:rFonts w:hint="eastAsia" w:ascii="宋体" w:hAnsi="宋体"/>
          <w:sz w:val="24"/>
        </w:rPr>
        <w:t>（三）交易权利</w:t>
      </w:r>
    </w:p>
    <w:p>
      <w:pPr>
        <w:ind w:firstLine="480" w:firstLineChars="200"/>
        <w:rPr>
          <w:rFonts w:ascii="宋体" w:hAnsi="宋体"/>
          <w:sz w:val="24"/>
        </w:rPr>
      </w:pPr>
      <w:r>
        <w:rPr>
          <w:rFonts w:hint="eastAsia" w:ascii="宋体" w:hAnsi="宋体"/>
          <w:sz w:val="24"/>
        </w:rPr>
        <w:t>1、权证交易的T+1日回转交易额度数据</w:t>
      </w:r>
    </w:p>
    <w:p>
      <w:pPr>
        <w:ind w:firstLine="480" w:firstLineChars="200"/>
        <w:rPr>
          <w:rFonts w:ascii="宋体" w:hAnsi="宋体"/>
          <w:sz w:val="24"/>
        </w:rPr>
      </w:pPr>
      <w:r>
        <w:rPr>
          <w:rFonts w:hint="eastAsia" w:ascii="宋体" w:hAnsi="宋体"/>
          <w:sz w:val="24"/>
        </w:rPr>
        <w:t>我司保留对上述数据种类进行随时调整的权利，申请人在办理此项业务时应及时与我司相关业务部门进行沟通以了解最新情况。</w:t>
      </w:r>
    </w:p>
    <w:p>
      <w:pPr>
        <w:ind w:firstLine="480" w:firstLineChars="200"/>
        <w:rPr>
          <w:rFonts w:ascii="宋体" w:hAnsi="宋体"/>
          <w:sz w:val="24"/>
        </w:rPr>
      </w:pPr>
      <w:r>
        <w:rPr>
          <w:rFonts w:hint="eastAsia" w:ascii="宋体" w:hAnsi="宋体"/>
          <w:sz w:val="24"/>
        </w:rPr>
        <w:t>三、申请人应确保转出、转入托管单元各项功能正常，例如必须确认转入托管单元已办妥有关开通手续，卫星等通讯线路和柜台系统能正常使用；必须在关闭转出托管单元前确认已无托管证券和将要接受的数据，否则由此引起的一切责任由申请人承担。</w:t>
      </w:r>
    </w:p>
    <w:p>
      <w:pPr>
        <w:ind w:firstLine="480" w:firstLineChars="200"/>
        <w:rPr>
          <w:rFonts w:ascii="宋体" w:hAnsi="宋体"/>
          <w:sz w:val="24"/>
        </w:rPr>
      </w:pPr>
      <w:r>
        <w:rPr>
          <w:rFonts w:hint="eastAsia" w:ascii="宋体" w:hAnsi="宋体"/>
          <w:sz w:val="24"/>
        </w:rPr>
        <w:t>四、转出托管单元的托管和转托管功能是否关闭，依据证券公司的申请设定，关闭时间一般为实施整体转托管后第二个交易日。</w:t>
      </w:r>
    </w:p>
    <w:p>
      <w:pPr>
        <w:ind w:firstLine="480" w:firstLineChars="200"/>
        <w:rPr>
          <w:rFonts w:ascii="宋体" w:hAnsi="宋体"/>
          <w:sz w:val="24"/>
        </w:rPr>
      </w:pPr>
      <w:r>
        <w:rPr>
          <w:rFonts w:hint="eastAsia" w:ascii="宋体" w:hAnsi="宋体"/>
          <w:sz w:val="24"/>
        </w:rPr>
        <w:t>五、整体转托管申请表必须提前两个交易日提交本公司，B股须提前一周提交。B股转出方必须于转托管前两个交易日开始在转入交易单元交易。</w:t>
      </w:r>
    </w:p>
    <w:p>
      <w:pPr>
        <w:ind w:firstLine="480" w:firstLineChars="200"/>
        <w:rPr>
          <w:rFonts w:ascii="宋体" w:hAnsi="宋体"/>
          <w:sz w:val="24"/>
        </w:rPr>
      </w:pPr>
      <w:r>
        <w:rPr>
          <w:rFonts w:hint="eastAsia" w:ascii="宋体" w:hAnsi="宋体"/>
          <w:sz w:val="24"/>
        </w:rPr>
        <w:t>六、如因上述转托管产生的一切法律纠纷和责任，均由申请人承担，与中国结算深圳分公司无关。</w:t>
      </w:r>
    </w:p>
    <w:p>
      <w:pPr>
        <w:ind w:firstLine="480" w:firstLineChars="200"/>
        <w:rPr>
          <w:rFonts w:ascii="宋体" w:hAnsi="宋体"/>
          <w:sz w:val="24"/>
        </w:rPr>
      </w:pPr>
      <w:r>
        <w:rPr>
          <w:rFonts w:hint="eastAsia" w:ascii="宋体" w:hAnsi="宋体"/>
          <w:sz w:val="24"/>
        </w:rPr>
        <w:t>七、本单位已认真阅读上文，完全知悉和了解整体转托管可能引发的风险并自愿承担之。</w:t>
      </w:r>
    </w:p>
    <w:p>
      <w:pPr>
        <w:ind w:firstLine="480" w:firstLineChars="200"/>
        <w:rPr>
          <w:rFonts w:ascii="宋体" w:hAnsi="宋体"/>
          <w:sz w:val="24"/>
        </w:rPr>
      </w:pPr>
    </w:p>
    <w:p>
      <w:pPr>
        <w:ind w:firstLine="480" w:firstLineChars="200"/>
        <w:rPr>
          <w:rFonts w:ascii="宋体" w:hAnsi="宋体"/>
          <w:sz w:val="24"/>
        </w:rPr>
      </w:pPr>
    </w:p>
    <w:p>
      <w:pPr>
        <w:ind w:firstLine="480" w:firstLineChars="200"/>
        <w:rPr>
          <w:rFonts w:ascii="宋体" w:hAnsi="宋体"/>
          <w:sz w:val="24"/>
        </w:rPr>
      </w:pPr>
      <w:r>
        <w:rPr>
          <w:rFonts w:hint="eastAsia" w:ascii="宋体" w:hAnsi="宋体"/>
          <w:sz w:val="24"/>
        </w:rPr>
        <w:t>转出方负责人签名</w:t>
      </w:r>
      <w:r>
        <w:rPr>
          <w:rFonts w:ascii="宋体" w:hAnsi="宋体"/>
          <w:sz w:val="24"/>
        </w:rPr>
        <w:t>:</w:t>
      </w:r>
      <w:r>
        <w:rPr>
          <w:rFonts w:hint="eastAsia" w:ascii="宋体" w:hAnsi="宋体"/>
          <w:sz w:val="24"/>
        </w:rPr>
        <w:t xml:space="preserve">                      转入方负责人签名</w:t>
      </w:r>
      <w:r>
        <w:rPr>
          <w:rFonts w:ascii="宋体" w:hAnsi="宋体"/>
          <w:sz w:val="24"/>
        </w:rPr>
        <w:t xml:space="preserve">: </w:t>
      </w:r>
    </w:p>
    <w:p>
      <w:pPr>
        <w:ind w:firstLine="480" w:firstLineChars="200"/>
        <w:rPr>
          <w:rFonts w:ascii="宋体" w:hAnsi="宋体"/>
          <w:sz w:val="24"/>
        </w:rPr>
      </w:pPr>
      <w:r>
        <w:rPr>
          <w:rFonts w:hint="eastAsia" w:ascii="宋体" w:hAnsi="宋体"/>
          <w:sz w:val="24"/>
        </w:rPr>
        <w:t>单位公章</w:t>
      </w:r>
      <w:r>
        <w:rPr>
          <w:rFonts w:ascii="宋体" w:hAnsi="宋体"/>
          <w:sz w:val="24"/>
        </w:rPr>
        <w:t>:</w:t>
      </w:r>
      <w:r>
        <w:rPr>
          <w:rFonts w:hint="eastAsia" w:ascii="宋体" w:hAnsi="宋体"/>
          <w:sz w:val="24"/>
        </w:rPr>
        <w:t xml:space="preserve">                              单位公章</w:t>
      </w:r>
      <w:r>
        <w:rPr>
          <w:rFonts w:ascii="宋体" w:hAnsi="宋体"/>
          <w:sz w:val="24"/>
        </w:rPr>
        <w:t>:</w:t>
      </w:r>
    </w:p>
    <w:p>
      <w:pPr>
        <w:ind w:firstLine="560" w:firstLineChars="200"/>
        <w:rPr>
          <w:rFonts w:ascii="仿宋" w:hAnsi="仿宋" w:eastAsia="仿宋"/>
          <w:sz w:val="28"/>
        </w:rPr>
      </w:pPr>
      <w:r>
        <w:rPr>
          <w:rFonts w:ascii="仿宋" w:hAnsi="仿宋" w:eastAsia="仿宋"/>
          <w:sz w:val="28"/>
        </w:rPr>
        <w:t xml:space="preserve"> </w:t>
      </w:r>
    </w:p>
    <w:p>
      <w:pPr>
        <w:rPr>
          <w:rFonts w:ascii="宋体" w:hAnsi="宋体"/>
          <w:color w:val="000000"/>
          <w:sz w:val="24"/>
        </w:rPr>
      </w:pPr>
      <w:r>
        <w:rPr>
          <w:rFonts w:ascii="宋体" w:hAnsi="宋体"/>
          <w:sz w:val="24"/>
        </w:rPr>
        <w:br w:type="page"/>
      </w:r>
    </w:p>
    <w:p>
      <w:pPr>
        <w:rPr>
          <w:rFonts w:ascii="宋体" w:hAnsi="宋体"/>
          <w:b/>
          <w:sz w:val="28"/>
          <w:szCs w:val="28"/>
        </w:rPr>
      </w:pPr>
      <w:r>
        <w:rPr>
          <w:rFonts w:hint="eastAsia" w:ascii="宋体" w:hAnsi="宋体"/>
          <w:sz w:val="28"/>
          <w:szCs w:val="28"/>
        </w:rPr>
        <w:t>表格</w:t>
      </w:r>
      <w:r>
        <w:rPr>
          <w:rFonts w:hint="eastAsia" w:ascii="宋体" w:hAnsi="宋体"/>
          <w:sz w:val="28"/>
          <w:szCs w:val="28"/>
          <w:lang w:val="en-US" w:eastAsia="zh-CN"/>
        </w:rPr>
        <w:t>2</w:t>
      </w:r>
      <w:r>
        <w:rPr>
          <w:rFonts w:ascii="宋体" w:hAnsi="宋体"/>
          <w:sz w:val="28"/>
          <w:szCs w:val="28"/>
        </w:rPr>
        <w:t>：</w:t>
      </w:r>
      <w:bookmarkEnd w:id="2"/>
    </w:p>
    <w:p>
      <w:pPr>
        <w:pStyle w:val="17"/>
        <w:rPr>
          <w:kern w:val="0"/>
        </w:rPr>
      </w:pPr>
      <w:bookmarkStart w:id="3" w:name="_Toc8389491"/>
      <w:r>
        <w:rPr>
          <w:rFonts w:hint="eastAsia"/>
          <w:kern w:val="0"/>
        </w:rPr>
        <w:t>证券调整申请表</w:t>
      </w:r>
      <w:bookmarkEnd w:id="3"/>
    </w:p>
    <w:tbl>
      <w:tblPr>
        <w:tblStyle w:val="18"/>
        <w:tblW w:w="9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7"/>
        <w:gridCol w:w="709"/>
        <w:gridCol w:w="1276"/>
        <w:gridCol w:w="1276"/>
        <w:gridCol w:w="1275"/>
        <w:gridCol w:w="1276"/>
        <w:gridCol w:w="851"/>
        <w:gridCol w:w="708"/>
        <w:gridCol w:w="1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exact"/>
          <w:jc w:val="center"/>
        </w:trPr>
        <w:tc>
          <w:tcPr>
            <w:tcW w:w="937" w:type="dxa"/>
            <w:vMerge w:val="restart"/>
            <w:tcBorders>
              <w:bottom w:val="nil"/>
            </w:tcBorders>
            <w:vAlign w:val="center"/>
          </w:tcPr>
          <w:p>
            <w:pPr>
              <w:jc w:val="center"/>
              <w:rPr>
                <w:rFonts w:ascii="宋体" w:hAnsi="宋体"/>
                <w:sz w:val="24"/>
              </w:rPr>
            </w:pPr>
            <w:r>
              <w:rPr>
                <w:rFonts w:hint="eastAsia" w:ascii="宋体" w:hAnsi="宋体"/>
                <w:sz w:val="24"/>
              </w:rPr>
              <w:t>证券</w:t>
            </w:r>
          </w:p>
          <w:p>
            <w:pPr>
              <w:jc w:val="center"/>
              <w:rPr>
                <w:rFonts w:ascii="宋体" w:hAnsi="宋体"/>
                <w:sz w:val="24"/>
              </w:rPr>
            </w:pPr>
            <w:r>
              <w:rPr>
                <w:rFonts w:hint="eastAsia" w:ascii="宋体" w:hAnsi="宋体"/>
                <w:sz w:val="24"/>
              </w:rPr>
              <w:t>代码</w:t>
            </w:r>
          </w:p>
        </w:tc>
        <w:tc>
          <w:tcPr>
            <w:tcW w:w="709" w:type="dxa"/>
            <w:vMerge w:val="restart"/>
            <w:tcBorders>
              <w:bottom w:val="nil"/>
            </w:tcBorders>
            <w:vAlign w:val="center"/>
          </w:tcPr>
          <w:p>
            <w:pPr>
              <w:jc w:val="center"/>
              <w:rPr>
                <w:rFonts w:ascii="宋体" w:hAnsi="宋体"/>
                <w:sz w:val="24"/>
              </w:rPr>
            </w:pPr>
            <w:r>
              <w:rPr>
                <w:rFonts w:hint="eastAsia" w:ascii="宋体" w:hAnsi="宋体"/>
                <w:sz w:val="24"/>
              </w:rPr>
              <w:t>证券</w:t>
            </w:r>
          </w:p>
          <w:p>
            <w:pPr>
              <w:jc w:val="center"/>
              <w:rPr>
                <w:rFonts w:ascii="宋体" w:hAnsi="宋体"/>
                <w:sz w:val="24"/>
              </w:rPr>
            </w:pPr>
            <w:r>
              <w:rPr>
                <w:rFonts w:hint="eastAsia" w:ascii="宋体" w:hAnsi="宋体"/>
                <w:sz w:val="24"/>
              </w:rPr>
              <w:t>简称</w:t>
            </w:r>
          </w:p>
        </w:tc>
        <w:tc>
          <w:tcPr>
            <w:tcW w:w="2552" w:type="dxa"/>
            <w:gridSpan w:val="2"/>
            <w:tcBorders>
              <w:bottom w:val="single" w:color="auto" w:sz="4" w:space="0"/>
            </w:tcBorders>
            <w:vAlign w:val="center"/>
          </w:tcPr>
          <w:p>
            <w:pPr>
              <w:jc w:val="center"/>
              <w:rPr>
                <w:rFonts w:ascii="宋体" w:hAnsi="宋体"/>
                <w:sz w:val="24"/>
              </w:rPr>
            </w:pPr>
            <w:r>
              <w:rPr>
                <w:rFonts w:ascii="宋体" w:hAnsi="宋体"/>
                <w:sz w:val="24"/>
              </w:rPr>
              <w:fldChar w:fldCharType="begin"/>
            </w:r>
            <w:r>
              <w:rPr>
                <w:rFonts w:ascii="宋体" w:hAnsi="宋体"/>
                <w:sz w:val="24"/>
              </w:rPr>
              <w:instrText xml:space="preserve"> eq \o\ad(</w:instrText>
            </w:r>
            <w:r>
              <w:rPr>
                <w:rFonts w:hint="eastAsia" w:ascii="宋体" w:hAnsi="宋体"/>
                <w:sz w:val="24"/>
              </w:rPr>
              <w:instrText xml:space="preserve">调出方</w:instrText>
            </w:r>
            <w:r>
              <w:rPr>
                <w:rFonts w:ascii="宋体" w:hAnsi="宋体"/>
                <w:sz w:val="24"/>
              </w:rPr>
              <w:instrText xml:space="preserve">,</w:instrText>
            </w:r>
            <w:r>
              <w:rPr>
                <w:rFonts w:hint="eastAsia" w:ascii="宋体" w:hAnsi="宋体"/>
                <w:sz w:val="24"/>
              </w:rPr>
              <w:instrText xml:space="preserve">　　　　　</w:instrText>
            </w:r>
            <w:r>
              <w:rPr>
                <w:rFonts w:ascii="宋体" w:hAnsi="宋体"/>
                <w:sz w:val="24"/>
              </w:rPr>
              <w:instrText xml:space="preserve">)</w:instrText>
            </w:r>
            <w:r>
              <w:rPr>
                <w:rFonts w:ascii="宋体" w:hAnsi="宋体"/>
                <w:sz w:val="24"/>
              </w:rPr>
              <w:fldChar w:fldCharType="end"/>
            </w:r>
          </w:p>
        </w:tc>
        <w:tc>
          <w:tcPr>
            <w:tcW w:w="2551" w:type="dxa"/>
            <w:gridSpan w:val="2"/>
            <w:tcBorders>
              <w:bottom w:val="single" w:color="auto" w:sz="4" w:space="0"/>
            </w:tcBorders>
            <w:vAlign w:val="center"/>
          </w:tcPr>
          <w:p>
            <w:pPr>
              <w:jc w:val="center"/>
              <w:rPr>
                <w:rFonts w:ascii="宋体" w:hAnsi="宋体"/>
                <w:sz w:val="24"/>
              </w:rPr>
            </w:pPr>
            <w:r>
              <w:rPr>
                <w:rFonts w:ascii="宋体" w:hAnsi="宋体"/>
                <w:sz w:val="24"/>
              </w:rPr>
              <w:fldChar w:fldCharType="begin"/>
            </w:r>
            <w:r>
              <w:rPr>
                <w:rFonts w:ascii="宋体" w:hAnsi="宋体"/>
                <w:sz w:val="24"/>
              </w:rPr>
              <w:instrText xml:space="preserve"> eq \o\ad(</w:instrText>
            </w:r>
            <w:r>
              <w:rPr>
                <w:rFonts w:hint="eastAsia" w:ascii="宋体" w:hAnsi="宋体"/>
                <w:sz w:val="24"/>
              </w:rPr>
              <w:instrText xml:space="preserve">调入方</w:instrText>
            </w:r>
            <w:r>
              <w:rPr>
                <w:rFonts w:ascii="宋体" w:hAnsi="宋体"/>
                <w:sz w:val="24"/>
              </w:rPr>
              <w:instrText xml:space="preserve">,</w:instrText>
            </w:r>
            <w:r>
              <w:rPr>
                <w:rFonts w:hint="eastAsia" w:ascii="宋体" w:hAnsi="宋体"/>
                <w:sz w:val="24"/>
              </w:rPr>
              <w:instrText xml:space="preserve">　　　　　</w:instrText>
            </w:r>
            <w:r>
              <w:rPr>
                <w:rFonts w:ascii="宋体" w:hAnsi="宋体"/>
                <w:sz w:val="24"/>
              </w:rPr>
              <w:instrText xml:space="preserve">)</w:instrText>
            </w:r>
            <w:r>
              <w:rPr>
                <w:rFonts w:ascii="宋体" w:hAnsi="宋体"/>
                <w:sz w:val="24"/>
              </w:rPr>
              <w:fldChar w:fldCharType="end"/>
            </w:r>
          </w:p>
        </w:tc>
        <w:tc>
          <w:tcPr>
            <w:tcW w:w="851" w:type="dxa"/>
            <w:vMerge w:val="restart"/>
            <w:tcBorders>
              <w:bottom w:val="nil"/>
            </w:tcBorders>
            <w:vAlign w:val="center"/>
          </w:tcPr>
          <w:p>
            <w:pPr>
              <w:jc w:val="center"/>
              <w:rPr>
                <w:rFonts w:ascii="宋体" w:hAnsi="宋体"/>
                <w:sz w:val="24"/>
              </w:rPr>
            </w:pPr>
            <w:r>
              <w:rPr>
                <w:rFonts w:hint="eastAsia" w:ascii="宋体" w:hAnsi="宋体"/>
                <w:sz w:val="24"/>
              </w:rPr>
              <w:t>调整</w:t>
            </w:r>
          </w:p>
          <w:p>
            <w:pPr>
              <w:jc w:val="center"/>
              <w:rPr>
                <w:rFonts w:ascii="宋体" w:hAnsi="宋体"/>
                <w:sz w:val="24"/>
              </w:rPr>
            </w:pPr>
            <w:r>
              <w:rPr>
                <w:rFonts w:hint="eastAsia" w:ascii="宋体" w:hAnsi="宋体"/>
                <w:sz w:val="24"/>
              </w:rPr>
              <w:t>股数</w:t>
            </w:r>
          </w:p>
        </w:tc>
        <w:tc>
          <w:tcPr>
            <w:tcW w:w="708" w:type="dxa"/>
            <w:vMerge w:val="restart"/>
            <w:tcBorders>
              <w:bottom w:val="nil"/>
            </w:tcBorders>
            <w:vAlign w:val="center"/>
          </w:tcPr>
          <w:p>
            <w:pPr>
              <w:jc w:val="center"/>
              <w:rPr>
                <w:rFonts w:ascii="宋体" w:hAnsi="宋体"/>
                <w:sz w:val="24"/>
              </w:rPr>
            </w:pPr>
            <w:r>
              <w:rPr>
                <w:rFonts w:hint="eastAsia" w:ascii="宋体" w:hAnsi="宋体"/>
                <w:sz w:val="24"/>
              </w:rPr>
              <w:t>证券</w:t>
            </w:r>
          </w:p>
          <w:p>
            <w:pPr>
              <w:jc w:val="center"/>
              <w:rPr>
                <w:rFonts w:ascii="宋体" w:hAnsi="宋体"/>
                <w:sz w:val="24"/>
              </w:rPr>
            </w:pPr>
            <w:r>
              <w:rPr>
                <w:rFonts w:hint="eastAsia" w:ascii="宋体" w:hAnsi="宋体"/>
                <w:sz w:val="24"/>
              </w:rPr>
              <w:t>单位</w:t>
            </w:r>
          </w:p>
        </w:tc>
        <w:tc>
          <w:tcPr>
            <w:tcW w:w="1018" w:type="dxa"/>
            <w:vMerge w:val="restart"/>
            <w:tcBorders>
              <w:right w:val="single" w:color="auto" w:sz="4" w:space="0"/>
            </w:tcBorders>
            <w:vAlign w:val="center"/>
          </w:tcPr>
          <w:p>
            <w:pPr>
              <w:jc w:val="center"/>
              <w:rPr>
                <w:rFonts w:ascii="宋体" w:hAnsi="宋体"/>
                <w:sz w:val="24"/>
              </w:rPr>
            </w:pPr>
            <w:r>
              <w:rPr>
                <w:rFonts w:hint="eastAsia" w:ascii="宋体" w:hAnsi="宋体"/>
                <w:sz w:val="24"/>
              </w:rPr>
              <w:t>备注（红利金额）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exact"/>
          <w:jc w:val="center"/>
        </w:trPr>
        <w:tc>
          <w:tcPr>
            <w:tcW w:w="937" w:type="dxa"/>
            <w:vMerge w:val="continue"/>
            <w:tcBorders>
              <w:bottom w:val="single" w:color="auto" w:sz="4" w:space="0"/>
            </w:tcBorders>
          </w:tcPr>
          <w:p>
            <w:pPr>
              <w:jc w:val="center"/>
              <w:rPr>
                <w:rFonts w:ascii="宋体" w:hAnsi="宋体"/>
                <w:sz w:val="24"/>
              </w:rPr>
            </w:pPr>
          </w:p>
        </w:tc>
        <w:tc>
          <w:tcPr>
            <w:tcW w:w="709" w:type="dxa"/>
            <w:vMerge w:val="continue"/>
            <w:tcBorders>
              <w:bottom w:val="single" w:color="auto" w:sz="4" w:space="0"/>
            </w:tcBorders>
          </w:tcPr>
          <w:p>
            <w:pPr>
              <w:jc w:val="center"/>
              <w:rPr>
                <w:rFonts w:ascii="宋体" w:hAnsi="宋体"/>
                <w:sz w:val="24"/>
              </w:rPr>
            </w:pPr>
          </w:p>
        </w:tc>
        <w:tc>
          <w:tcPr>
            <w:tcW w:w="1276" w:type="dxa"/>
            <w:tcBorders>
              <w:bottom w:val="single" w:color="auto" w:sz="4" w:space="0"/>
            </w:tcBorders>
            <w:vAlign w:val="center"/>
          </w:tcPr>
          <w:p>
            <w:pPr>
              <w:jc w:val="center"/>
              <w:rPr>
                <w:rFonts w:ascii="宋体" w:hAnsi="宋体"/>
                <w:sz w:val="24"/>
              </w:rPr>
            </w:pPr>
            <w:r>
              <w:rPr>
                <w:rFonts w:hint="eastAsia" w:ascii="宋体" w:hAnsi="宋体"/>
                <w:sz w:val="24"/>
              </w:rPr>
              <w:t>托管单元</w:t>
            </w:r>
          </w:p>
        </w:tc>
        <w:tc>
          <w:tcPr>
            <w:tcW w:w="1276" w:type="dxa"/>
            <w:tcBorders>
              <w:bottom w:val="single" w:color="auto" w:sz="4" w:space="0"/>
            </w:tcBorders>
            <w:vAlign w:val="center"/>
          </w:tcPr>
          <w:p>
            <w:pPr>
              <w:jc w:val="center"/>
              <w:rPr>
                <w:rFonts w:ascii="宋体" w:hAnsi="宋体"/>
                <w:sz w:val="24"/>
              </w:rPr>
            </w:pPr>
            <w:r>
              <w:rPr>
                <w:rFonts w:hint="eastAsia" w:ascii="宋体" w:hAnsi="宋体"/>
                <w:sz w:val="24"/>
              </w:rPr>
              <w:t>证券账户</w:t>
            </w:r>
          </w:p>
        </w:tc>
        <w:tc>
          <w:tcPr>
            <w:tcW w:w="1275" w:type="dxa"/>
            <w:tcBorders>
              <w:bottom w:val="single" w:color="auto" w:sz="4" w:space="0"/>
            </w:tcBorders>
            <w:vAlign w:val="center"/>
          </w:tcPr>
          <w:p>
            <w:pPr>
              <w:jc w:val="center"/>
              <w:rPr>
                <w:rFonts w:ascii="宋体" w:hAnsi="宋体"/>
                <w:sz w:val="24"/>
              </w:rPr>
            </w:pPr>
            <w:r>
              <w:rPr>
                <w:rFonts w:hint="eastAsia" w:ascii="宋体" w:hAnsi="宋体"/>
                <w:sz w:val="24"/>
              </w:rPr>
              <w:t>托管单元</w:t>
            </w:r>
          </w:p>
        </w:tc>
        <w:tc>
          <w:tcPr>
            <w:tcW w:w="1276" w:type="dxa"/>
            <w:tcBorders>
              <w:bottom w:val="single" w:color="auto" w:sz="4" w:space="0"/>
            </w:tcBorders>
            <w:vAlign w:val="center"/>
          </w:tcPr>
          <w:p>
            <w:pPr>
              <w:jc w:val="center"/>
              <w:rPr>
                <w:rFonts w:ascii="宋体" w:hAnsi="宋体"/>
                <w:sz w:val="24"/>
              </w:rPr>
            </w:pPr>
            <w:r>
              <w:rPr>
                <w:rFonts w:hint="eastAsia" w:ascii="宋体" w:hAnsi="宋体"/>
                <w:sz w:val="24"/>
              </w:rPr>
              <w:t>证券账户</w:t>
            </w:r>
          </w:p>
        </w:tc>
        <w:tc>
          <w:tcPr>
            <w:tcW w:w="851" w:type="dxa"/>
            <w:vMerge w:val="continue"/>
            <w:tcBorders>
              <w:bottom w:val="single" w:color="auto" w:sz="4" w:space="0"/>
            </w:tcBorders>
          </w:tcPr>
          <w:p>
            <w:pPr>
              <w:jc w:val="center"/>
              <w:rPr>
                <w:rFonts w:ascii="宋体" w:hAnsi="宋体"/>
                <w:sz w:val="24"/>
              </w:rPr>
            </w:pPr>
          </w:p>
        </w:tc>
        <w:tc>
          <w:tcPr>
            <w:tcW w:w="708" w:type="dxa"/>
            <w:vMerge w:val="continue"/>
            <w:tcBorders>
              <w:bottom w:val="single" w:color="auto" w:sz="4" w:space="0"/>
            </w:tcBorders>
          </w:tcPr>
          <w:p>
            <w:pPr>
              <w:jc w:val="center"/>
              <w:rPr>
                <w:rFonts w:ascii="宋体" w:hAnsi="宋体"/>
                <w:sz w:val="24"/>
              </w:rPr>
            </w:pPr>
          </w:p>
        </w:tc>
        <w:tc>
          <w:tcPr>
            <w:tcW w:w="1018" w:type="dxa"/>
            <w:vMerge w:val="continue"/>
            <w:tcBorders>
              <w:bottom w:val="single" w:color="auto" w:sz="4" w:space="0"/>
              <w:right w:val="single" w:color="auto" w:sz="4" w:space="0"/>
            </w:tcBorders>
          </w:tcPr>
          <w:p>
            <w:pPr>
              <w:ind w:right="-288" w:rightChars="-137"/>
              <w:jc w:val="cente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8" w:hRule="exact"/>
          <w:jc w:val="center"/>
        </w:trPr>
        <w:tc>
          <w:tcPr>
            <w:tcW w:w="937" w:type="dxa"/>
          </w:tcPr>
          <w:p>
            <w:pPr>
              <w:rPr>
                <w:rFonts w:ascii="宋体" w:hAnsi="宋体"/>
                <w:sz w:val="24"/>
              </w:rPr>
            </w:pPr>
          </w:p>
        </w:tc>
        <w:tc>
          <w:tcPr>
            <w:tcW w:w="709" w:type="dxa"/>
          </w:tcPr>
          <w:p>
            <w:pPr>
              <w:rPr>
                <w:rFonts w:ascii="宋体" w:hAnsi="宋体"/>
                <w:sz w:val="24"/>
              </w:rPr>
            </w:pPr>
          </w:p>
        </w:tc>
        <w:tc>
          <w:tcPr>
            <w:tcW w:w="1276" w:type="dxa"/>
          </w:tcPr>
          <w:p>
            <w:pPr>
              <w:rPr>
                <w:rFonts w:ascii="宋体" w:hAnsi="宋体"/>
                <w:sz w:val="24"/>
              </w:rPr>
            </w:pPr>
          </w:p>
        </w:tc>
        <w:tc>
          <w:tcPr>
            <w:tcW w:w="1276" w:type="dxa"/>
          </w:tcPr>
          <w:p>
            <w:pPr>
              <w:rPr>
                <w:rFonts w:ascii="宋体" w:hAnsi="宋体"/>
                <w:sz w:val="24"/>
              </w:rPr>
            </w:pPr>
          </w:p>
        </w:tc>
        <w:tc>
          <w:tcPr>
            <w:tcW w:w="1275" w:type="dxa"/>
          </w:tcPr>
          <w:p>
            <w:pPr>
              <w:rPr>
                <w:rFonts w:ascii="宋体" w:hAnsi="宋体"/>
                <w:sz w:val="24"/>
              </w:rPr>
            </w:pPr>
          </w:p>
        </w:tc>
        <w:tc>
          <w:tcPr>
            <w:tcW w:w="1276" w:type="dxa"/>
          </w:tcPr>
          <w:p>
            <w:pPr>
              <w:rPr>
                <w:rFonts w:ascii="宋体" w:hAnsi="宋体"/>
                <w:sz w:val="24"/>
              </w:rPr>
            </w:pPr>
          </w:p>
        </w:tc>
        <w:tc>
          <w:tcPr>
            <w:tcW w:w="851" w:type="dxa"/>
          </w:tcPr>
          <w:p>
            <w:pPr>
              <w:rPr>
                <w:rFonts w:ascii="宋体" w:hAnsi="宋体"/>
                <w:sz w:val="24"/>
              </w:rPr>
            </w:pPr>
          </w:p>
        </w:tc>
        <w:tc>
          <w:tcPr>
            <w:tcW w:w="708" w:type="dxa"/>
          </w:tcPr>
          <w:p>
            <w:pPr>
              <w:rPr>
                <w:rFonts w:ascii="宋体" w:hAnsi="宋体"/>
                <w:sz w:val="24"/>
              </w:rPr>
            </w:pPr>
          </w:p>
        </w:tc>
        <w:tc>
          <w:tcPr>
            <w:tcW w:w="1018" w:type="dxa"/>
            <w:tcBorders>
              <w:right w:val="single" w:color="auto" w:sz="4" w:space="0"/>
            </w:tcBorders>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937" w:type="dxa"/>
          </w:tcPr>
          <w:p>
            <w:pPr>
              <w:rPr>
                <w:rFonts w:ascii="宋体" w:hAnsi="宋体"/>
                <w:sz w:val="24"/>
              </w:rPr>
            </w:pPr>
          </w:p>
        </w:tc>
        <w:tc>
          <w:tcPr>
            <w:tcW w:w="709" w:type="dxa"/>
          </w:tcPr>
          <w:p>
            <w:pPr>
              <w:rPr>
                <w:rFonts w:ascii="宋体" w:hAnsi="宋体"/>
                <w:sz w:val="24"/>
              </w:rPr>
            </w:pPr>
          </w:p>
        </w:tc>
        <w:tc>
          <w:tcPr>
            <w:tcW w:w="1276" w:type="dxa"/>
          </w:tcPr>
          <w:p>
            <w:pPr>
              <w:rPr>
                <w:rFonts w:ascii="宋体" w:hAnsi="宋体"/>
                <w:sz w:val="24"/>
              </w:rPr>
            </w:pPr>
          </w:p>
        </w:tc>
        <w:tc>
          <w:tcPr>
            <w:tcW w:w="1276" w:type="dxa"/>
          </w:tcPr>
          <w:p>
            <w:pPr>
              <w:rPr>
                <w:rFonts w:ascii="宋体" w:hAnsi="宋体"/>
                <w:sz w:val="24"/>
              </w:rPr>
            </w:pPr>
          </w:p>
        </w:tc>
        <w:tc>
          <w:tcPr>
            <w:tcW w:w="1275" w:type="dxa"/>
          </w:tcPr>
          <w:p>
            <w:pPr>
              <w:rPr>
                <w:rFonts w:ascii="宋体" w:hAnsi="宋体"/>
                <w:sz w:val="24"/>
              </w:rPr>
            </w:pPr>
          </w:p>
        </w:tc>
        <w:tc>
          <w:tcPr>
            <w:tcW w:w="1276" w:type="dxa"/>
          </w:tcPr>
          <w:p>
            <w:pPr>
              <w:rPr>
                <w:rFonts w:ascii="宋体" w:hAnsi="宋体"/>
                <w:sz w:val="24"/>
              </w:rPr>
            </w:pPr>
          </w:p>
        </w:tc>
        <w:tc>
          <w:tcPr>
            <w:tcW w:w="851" w:type="dxa"/>
          </w:tcPr>
          <w:p>
            <w:pPr>
              <w:rPr>
                <w:rFonts w:ascii="宋体" w:hAnsi="宋体"/>
                <w:sz w:val="24"/>
              </w:rPr>
            </w:pPr>
          </w:p>
        </w:tc>
        <w:tc>
          <w:tcPr>
            <w:tcW w:w="708" w:type="dxa"/>
          </w:tcPr>
          <w:p>
            <w:pPr>
              <w:rPr>
                <w:rFonts w:ascii="宋体" w:hAnsi="宋体"/>
                <w:sz w:val="24"/>
              </w:rPr>
            </w:pPr>
          </w:p>
        </w:tc>
        <w:tc>
          <w:tcPr>
            <w:tcW w:w="1018" w:type="dxa"/>
          </w:tcPr>
          <w:p>
            <w:pPr>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9326" w:type="dxa"/>
            <w:gridSpan w:val="9"/>
          </w:tcPr>
          <w:p>
            <w:pPr>
              <w:rPr>
                <w:rFonts w:ascii="宋体" w:hAnsi="宋体"/>
                <w:color w:val="000000"/>
                <w:sz w:val="24"/>
              </w:rPr>
            </w:pPr>
            <w:r>
              <w:rPr>
                <w:rFonts w:hint="eastAsia" w:ascii="宋体" w:hAnsi="宋体"/>
                <w:color w:val="000000"/>
                <w:sz w:val="24"/>
              </w:rPr>
              <w:t>调整类型：</w:t>
            </w:r>
          </w:p>
          <w:p>
            <w:pPr>
              <w:ind w:firstLine="1200" w:firstLineChars="500"/>
              <w:rPr>
                <w:rFonts w:ascii="宋体" w:hAnsi="宋体"/>
                <w:color w:val="000000"/>
                <w:sz w:val="24"/>
              </w:rPr>
            </w:pPr>
            <w:r>
              <w:rPr>
                <w:rFonts w:hint="eastAsia" w:ascii="宋体" w:hAnsi="宋体"/>
                <w:color w:val="000000"/>
                <w:sz w:val="24"/>
              </w:rPr>
              <w:t>□无效账户买入  □转托管出错  □B股代理人账户调整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90" w:hRule="atLeast"/>
          <w:jc w:val="center"/>
        </w:trPr>
        <w:tc>
          <w:tcPr>
            <w:tcW w:w="9326" w:type="dxa"/>
            <w:gridSpan w:val="9"/>
            <w:tcBorders>
              <w:bottom w:val="single" w:color="auto" w:sz="4" w:space="0"/>
            </w:tcBorders>
          </w:tcPr>
          <w:p>
            <w:pPr>
              <w:spacing w:before="120"/>
              <w:rPr>
                <w:rFonts w:ascii="宋体" w:hAnsi="宋体"/>
                <w:sz w:val="24"/>
              </w:rPr>
            </w:pPr>
            <w:r>
              <w:rPr>
                <w:rFonts w:hint="eastAsia" w:ascii="宋体" w:hAnsi="宋体"/>
                <w:sz w:val="24"/>
              </w:rPr>
              <w:t>调整原因说明：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5" w:hRule="atLeast"/>
          <w:jc w:val="center"/>
        </w:trPr>
        <w:tc>
          <w:tcPr>
            <w:tcW w:w="9326" w:type="dxa"/>
            <w:gridSpan w:val="9"/>
            <w:tcBorders>
              <w:bottom w:val="single" w:color="auto" w:sz="4" w:space="0"/>
            </w:tcBorders>
          </w:tcPr>
          <w:p>
            <w:pPr>
              <w:spacing w:before="120"/>
              <w:rPr>
                <w:rFonts w:ascii="宋体" w:hAnsi="宋体"/>
                <w:sz w:val="24"/>
              </w:rPr>
            </w:pPr>
            <w:r>
              <w:rPr>
                <w:rFonts w:hint="eastAsia" w:ascii="宋体" w:hAnsi="宋体"/>
                <w:sz w:val="24"/>
              </w:rPr>
              <w:t>调整声明：</w:t>
            </w:r>
          </w:p>
          <w:p>
            <w:pPr>
              <w:spacing w:before="120"/>
              <w:ind w:firstLine="480" w:firstLineChars="200"/>
              <w:rPr>
                <w:rFonts w:ascii="宋体" w:hAnsi="宋体"/>
                <w:sz w:val="24"/>
              </w:rPr>
            </w:pPr>
            <w:r>
              <w:rPr>
                <w:rFonts w:hint="eastAsia" w:ascii="宋体" w:hAnsi="宋体"/>
                <w:sz w:val="24"/>
              </w:rPr>
              <w:t>我司确认此次调整所提交的文件真实、准确、合法，如因以上调整产生的一切法律责任和纠纷，由我司承担，与中国结算深圳分公司无关。</w:t>
            </w:r>
          </w:p>
          <w:p>
            <w:pPr>
              <w:spacing w:before="120"/>
              <w:ind w:firstLine="480" w:firstLineChars="200"/>
              <w:rPr>
                <w:rFonts w:ascii="宋体" w:hAnsi="宋体"/>
                <w:sz w:val="24"/>
              </w:rPr>
            </w:pPr>
            <w:r>
              <w:rPr>
                <w:rFonts w:hint="eastAsia" w:ascii="宋体" w:hAnsi="宋体"/>
                <w:sz w:val="24"/>
              </w:rPr>
              <w:t xml:space="preserve">                                        盖章：</w:t>
            </w:r>
          </w:p>
          <w:p>
            <w:pPr>
              <w:spacing w:before="120"/>
              <w:ind w:firstLine="480" w:firstLineChars="200"/>
              <w:rPr>
                <w:rFonts w:ascii="宋体" w:hAnsi="宋体"/>
                <w:sz w:val="24"/>
              </w:rPr>
            </w:pPr>
          </w:p>
          <w:p>
            <w:pPr>
              <w:spacing w:before="120"/>
              <w:ind w:firstLine="480" w:firstLineChars="200"/>
              <w:rPr>
                <w:rFonts w:ascii="宋体" w:hAnsi="宋体"/>
                <w:sz w:val="24"/>
              </w:rPr>
            </w:pPr>
          </w:p>
          <w:p>
            <w:pPr>
              <w:spacing w:before="120"/>
              <w:rPr>
                <w:rFonts w:ascii="宋体" w:hAnsi="宋体"/>
                <w:sz w:val="24"/>
              </w:rPr>
            </w:pPr>
            <w:r>
              <w:rPr>
                <w:rFonts w:hint="eastAsia" w:ascii="宋体" w:hAnsi="宋体"/>
                <w:sz w:val="24"/>
              </w:rPr>
              <w:t>负责人签名：                  联系电话：         日期：</w:t>
            </w:r>
          </w:p>
          <w:p>
            <w:pPr>
              <w:spacing w:before="120"/>
              <w:rPr>
                <w:rFonts w:ascii="宋体" w:hAnsi="宋体"/>
                <w:sz w:val="24"/>
              </w:rPr>
            </w:pPr>
            <w:r>
              <w:rPr>
                <w:rFonts w:hint="eastAsia" w:ascii="宋体" w:hAnsi="宋体"/>
                <w:sz w:val="24"/>
              </w:rPr>
              <w:t>经办人签名：                  联系电话：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93" w:hRule="exact"/>
          <w:jc w:val="center"/>
        </w:trPr>
        <w:tc>
          <w:tcPr>
            <w:tcW w:w="9326" w:type="dxa"/>
            <w:gridSpan w:val="9"/>
            <w:tcBorders>
              <w:left w:val="nil"/>
              <w:bottom w:val="nil"/>
              <w:right w:val="nil"/>
            </w:tcBorders>
          </w:tcPr>
          <w:p>
            <w:pPr>
              <w:spacing w:line="280" w:lineRule="exact"/>
              <w:ind w:right="-1052" w:rightChars="-501"/>
              <w:rPr>
                <w:rFonts w:ascii="宋体" w:hAnsi="宋体"/>
                <w:sz w:val="24"/>
              </w:rPr>
            </w:pPr>
            <w:r>
              <w:rPr>
                <w:rFonts w:hint="eastAsia" w:ascii="宋体" w:hAnsi="宋体"/>
                <w:sz w:val="24"/>
              </w:rPr>
              <w:t>通讯地址：中国证券登记结算有限责任公司深圳分公司发行人业务部</w:t>
            </w:r>
          </w:p>
          <w:p>
            <w:pPr>
              <w:spacing w:line="280" w:lineRule="exact"/>
              <w:rPr>
                <w:rFonts w:ascii="宋体" w:hAnsi="宋体"/>
                <w:sz w:val="24"/>
              </w:rPr>
            </w:pPr>
            <w:r>
              <w:rPr>
                <w:rFonts w:ascii="宋体" w:hAnsi="宋体"/>
                <w:sz w:val="24"/>
              </w:rPr>
              <w:t>深圳市福田区深南大道2012号深圳证券交易所广场25层</w:t>
            </w:r>
            <w:r>
              <w:rPr>
                <w:rFonts w:hint="eastAsia" w:ascii="宋体" w:hAnsi="宋体"/>
                <w:sz w:val="24"/>
              </w:rPr>
              <w:t xml:space="preserve">  邮编518038</w:t>
            </w:r>
          </w:p>
          <w:p>
            <w:pPr>
              <w:spacing w:line="280" w:lineRule="exact"/>
              <w:rPr>
                <w:rFonts w:ascii="宋体" w:hAnsi="宋体"/>
                <w:sz w:val="24"/>
              </w:rPr>
            </w:pPr>
            <w:r>
              <w:rPr>
                <w:rFonts w:hint="eastAsia" w:ascii="宋体" w:hAnsi="宋体"/>
                <w:sz w:val="24"/>
              </w:rPr>
              <w:t>联系电话：0755－21899306</w:t>
            </w:r>
            <w:r>
              <w:rPr>
                <w:rFonts w:ascii="宋体" w:hAnsi="宋体"/>
                <w:sz w:val="24"/>
              </w:rPr>
              <w:t xml:space="preserve"> </w:t>
            </w:r>
          </w:p>
          <w:p>
            <w:pPr>
              <w:spacing w:line="280" w:lineRule="exact"/>
              <w:rPr>
                <w:rFonts w:ascii="宋体" w:hAnsi="宋体"/>
                <w:sz w:val="24"/>
              </w:rPr>
            </w:pPr>
            <w:r>
              <w:rPr>
                <w:rFonts w:hint="eastAsia" w:ascii="宋体" w:hAnsi="宋体"/>
                <w:sz w:val="24"/>
              </w:rPr>
              <w:t xml:space="preserve">传    真：0755－25987133 </w:t>
            </w: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p>
            <w:pPr>
              <w:spacing w:line="280" w:lineRule="exact"/>
              <w:rPr>
                <w:rFonts w:ascii="宋体" w:hAnsi="宋体"/>
                <w:sz w:val="24"/>
              </w:rPr>
            </w:pPr>
          </w:p>
        </w:tc>
      </w:tr>
    </w:tbl>
    <w:p>
      <w:pPr>
        <w:rPr>
          <w:rFonts w:ascii="宋体" w:hAnsi="宋体"/>
          <w:color w:val="000000"/>
          <w:sz w:val="28"/>
          <w:szCs w:val="28"/>
        </w:rPr>
      </w:pPr>
    </w:p>
    <w:p>
      <w:pPr>
        <w:rPr>
          <w:rFonts w:ascii="宋体" w:hAnsi="宋体"/>
          <w:b/>
          <w:sz w:val="28"/>
          <w:szCs w:val="28"/>
        </w:rPr>
      </w:pPr>
      <w:r>
        <w:rPr>
          <w:rFonts w:ascii="宋体" w:hAnsi="宋体"/>
          <w:color w:val="000000"/>
          <w:sz w:val="28"/>
          <w:szCs w:val="28"/>
        </w:rPr>
        <w:br w:type="page"/>
      </w:r>
      <w:r>
        <w:rPr>
          <w:rFonts w:hint="eastAsia" w:ascii="宋体" w:hAnsi="宋体"/>
          <w:sz w:val="28"/>
          <w:szCs w:val="28"/>
        </w:rPr>
        <w:t>表格</w:t>
      </w:r>
      <w:r>
        <w:rPr>
          <w:rFonts w:hint="eastAsia" w:ascii="宋体" w:hAnsi="宋体"/>
          <w:sz w:val="28"/>
          <w:szCs w:val="28"/>
          <w:lang w:val="en-US" w:eastAsia="zh-CN"/>
        </w:rPr>
        <w:t>3</w:t>
      </w:r>
      <w:r>
        <w:rPr>
          <w:rFonts w:ascii="宋体" w:hAnsi="宋体"/>
          <w:sz w:val="28"/>
          <w:szCs w:val="28"/>
        </w:rPr>
        <w:t>：</w:t>
      </w:r>
    </w:p>
    <w:p>
      <w:pPr>
        <w:pStyle w:val="17"/>
        <w:rPr>
          <w:kern w:val="0"/>
        </w:rPr>
      </w:pPr>
      <w:bookmarkStart w:id="4" w:name="_Toc8389492"/>
      <w:r>
        <w:rPr>
          <w:rFonts w:hint="eastAsia"/>
          <w:kern w:val="0"/>
        </w:rPr>
        <w:t>证券登记托管单元错误调整申请书</w:t>
      </w:r>
      <w:bookmarkEnd w:id="4"/>
    </w:p>
    <w:p>
      <w:pPr>
        <w:spacing w:line="360" w:lineRule="auto"/>
      </w:pPr>
    </w:p>
    <w:p>
      <w:pPr>
        <w:spacing w:line="360" w:lineRule="auto"/>
        <w:rPr>
          <w:rFonts w:ascii="宋体" w:hAnsi="宋体"/>
          <w:sz w:val="24"/>
        </w:rPr>
      </w:pPr>
      <w:r>
        <w:rPr>
          <w:rFonts w:ascii="宋体" w:hAnsi="宋体"/>
          <w:sz w:val="24"/>
        </w:rPr>
        <w:t>中国证券登记结算有限责任公司深圳分公司：</w:t>
      </w:r>
    </w:p>
    <w:p>
      <w:pPr>
        <w:spacing w:line="360" w:lineRule="auto"/>
        <w:ind w:firstLine="480" w:firstLineChars="200"/>
        <w:rPr>
          <w:rFonts w:ascii="宋体" w:hAnsi="宋体"/>
          <w:sz w:val="24"/>
        </w:rPr>
      </w:pPr>
      <w:r>
        <w:rPr>
          <w:rFonts w:hint="eastAsia" w:ascii="宋体" w:hAnsi="宋体"/>
          <w:sz w:val="24"/>
        </w:rPr>
        <w:t>兹有投资者</w:t>
      </w:r>
      <w:r>
        <w:rPr>
          <w:rFonts w:hint="eastAsia" w:ascii="宋体" w:hAnsi="宋体"/>
          <w:sz w:val="24"/>
          <w:u w:val="single"/>
        </w:rPr>
        <w:t>【投资者名称（证券账户号码）】</w:t>
      </w:r>
      <w:r>
        <w:rPr>
          <w:rFonts w:hint="eastAsia" w:ascii="宋体" w:hAnsi="宋体"/>
          <w:sz w:val="24"/>
        </w:rPr>
        <w:t>在</w:t>
      </w:r>
      <w:r>
        <w:rPr>
          <w:rFonts w:hint="eastAsia" w:ascii="宋体" w:hAnsi="宋体"/>
          <w:sz w:val="24"/>
          <w:u w:val="single"/>
        </w:rPr>
        <w:t>【请描述具体业务，如初始登记】</w:t>
      </w:r>
      <w:r>
        <w:rPr>
          <w:rFonts w:hint="eastAsia" w:ascii="宋体" w:hAnsi="宋体"/>
          <w:sz w:val="24"/>
        </w:rPr>
        <w:t>过程中，因</w:t>
      </w:r>
      <w:r>
        <w:rPr>
          <w:rFonts w:hint="eastAsia" w:ascii="宋体" w:hAnsi="宋体"/>
          <w:sz w:val="24"/>
          <w:u w:val="single"/>
        </w:rPr>
        <w:t>【责任方及原因】</w:t>
      </w:r>
      <w:r>
        <w:rPr>
          <w:rFonts w:hint="eastAsia" w:ascii="宋体" w:hAnsi="宋体"/>
          <w:sz w:val="24"/>
        </w:rPr>
        <w:t>，导致原应登记在</w:t>
      </w:r>
      <w:r>
        <w:rPr>
          <w:rFonts w:hint="eastAsia" w:ascii="宋体" w:hAnsi="宋体"/>
          <w:sz w:val="24"/>
          <w:u w:val="single"/>
        </w:rPr>
        <w:t>“【申请调入的托管单元号码】”</w:t>
      </w:r>
      <w:r>
        <w:rPr>
          <w:rFonts w:hint="eastAsia" w:ascii="宋体" w:hAnsi="宋体"/>
          <w:sz w:val="24"/>
        </w:rPr>
        <w:t>托管单元的</w:t>
      </w:r>
      <w:r>
        <w:rPr>
          <w:rFonts w:hint="eastAsia" w:ascii="宋体" w:hAnsi="宋体"/>
          <w:sz w:val="24"/>
          <w:u w:val="single"/>
        </w:rPr>
        <w:t>【数量(当前最终数量)】股/</w:t>
      </w:r>
      <w:r>
        <w:rPr>
          <w:rFonts w:hint="eastAsia" w:ascii="宋体" w:hAnsi="宋体"/>
          <w:sz w:val="24"/>
        </w:rPr>
        <w:t>张/份“【证券简称】”误登记在</w:t>
      </w:r>
      <w:r>
        <w:rPr>
          <w:rFonts w:hint="eastAsia" w:ascii="宋体" w:hAnsi="宋体"/>
          <w:sz w:val="24"/>
          <w:u w:val="single"/>
        </w:rPr>
        <w:t>“【申请调出的托管单元号码】”</w:t>
      </w:r>
      <w:r>
        <w:rPr>
          <w:rFonts w:hint="eastAsia" w:ascii="宋体" w:hAnsi="宋体"/>
          <w:sz w:val="24"/>
        </w:rPr>
        <w:t>托管单元中。由于</w:t>
      </w:r>
      <w:r>
        <w:rPr>
          <w:rFonts w:hint="eastAsia" w:ascii="宋体" w:hAnsi="宋体"/>
          <w:sz w:val="24"/>
          <w:u w:val="single"/>
        </w:rPr>
        <w:t>【请描述不能由投资者自行进行托管单元调整的具体原因】</w:t>
      </w:r>
      <w:r>
        <w:rPr>
          <w:rFonts w:hint="eastAsia" w:ascii="宋体" w:hAnsi="宋体"/>
          <w:sz w:val="24"/>
        </w:rPr>
        <w:t>，请贵司对该部分证券进行托管单元调整。除托管单元调整外，登记数据中的证券账户、证券数量、股份性质等信息保持不变。托管单元</w:t>
      </w:r>
      <w:r>
        <w:rPr>
          <w:rFonts w:ascii="宋体" w:hAnsi="宋体"/>
          <w:sz w:val="24"/>
        </w:rPr>
        <w:t>调整</w:t>
      </w:r>
      <w:r>
        <w:rPr>
          <w:rFonts w:hint="eastAsia" w:ascii="宋体" w:hAnsi="宋体"/>
          <w:sz w:val="24"/>
        </w:rPr>
        <w:t>主要</w:t>
      </w:r>
      <w:r>
        <w:rPr>
          <w:rFonts w:ascii="宋体" w:hAnsi="宋体"/>
          <w:sz w:val="24"/>
        </w:rPr>
        <w:t>信息如下：</w:t>
      </w:r>
    </w:p>
    <w:p>
      <w:pPr>
        <w:spacing w:line="360" w:lineRule="auto"/>
        <w:ind w:firstLine="480" w:firstLineChars="200"/>
        <w:rPr>
          <w:rFonts w:ascii="宋体" w:hAnsi="宋体"/>
          <w:sz w:val="24"/>
        </w:rPr>
      </w:pPr>
      <w:r>
        <w:rPr>
          <w:rFonts w:hint="eastAsia" w:ascii="宋体" w:hAnsi="宋体"/>
          <w:sz w:val="24"/>
        </w:rPr>
        <w:t>证券代码：</w:t>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ab/>
      </w:r>
      <w:r>
        <w:rPr>
          <w:rFonts w:hint="eastAsia" w:ascii="宋体" w:hAnsi="宋体"/>
          <w:sz w:val="24"/>
        </w:rPr>
        <w:t xml:space="preserve"> 证券简称：</w:t>
      </w:r>
    </w:p>
    <w:tbl>
      <w:tblPr>
        <w:tblStyle w:val="19"/>
        <w:tblW w:w="10465"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559"/>
        <w:gridCol w:w="1332"/>
        <w:gridCol w:w="1377"/>
        <w:gridCol w:w="1377"/>
        <w:gridCol w:w="1418"/>
        <w:gridCol w:w="1417"/>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vAlign w:val="center"/>
          </w:tcPr>
          <w:p>
            <w:pPr>
              <w:spacing w:line="360" w:lineRule="auto"/>
              <w:jc w:val="center"/>
              <w:rPr>
                <w:rFonts w:ascii="宋体" w:hAnsi="宋体"/>
                <w:b/>
                <w:kern w:val="0"/>
                <w:sz w:val="24"/>
              </w:rPr>
            </w:pPr>
            <w:r>
              <w:rPr>
                <w:rFonts w:hint="eastAsia" w:ascii="宋体" w:hAnsi="宋体"/>
                <w:b/>
                <w:kern w:val="0"/>
                <w:sz w:val="24"/>
              </w:rPr>
              <w:t>证券账户号码</w:t>
            </w:r>
          </w:p>
        </w:tc>
        <w:tc>
          <w:tcPr>
            <w:tcW w:w="1559" w:type="dxa"/>
            <w:vAlign w:val="center"/>
          </w:tcPr>
          <w:p>
            <w:pPr>
              <w:spacing w:line="360" w:lineRule="auto"/>
              <w:jc w:val="center"/>
              <w:rPr>
                <w:rFonts w:ascii="宋体" w:hAnsi="宋体"/>
                <w:b/>
                <w:kern w:val="0"/>
                <w:sz w:val="24"/>
              </w:rPr>
            </w:pPr>
            <w:r>
              <w:rPr>
                <w:rFonts w:hint="eastAsia" w:ascii="宋体" w:hAnsi="宋体"/>
                <w:b/>
                <w:kern w:val="0"/>
                <w:sz w:val="24"/>
              </w:rPr>
              <w:t>证券账户名称</w:t>
            </w:r>
          </w:p>
        </w:tc>
        <w:tc>
          <w:tcPr>
            <w:tcW w:w="1332" w:type="dxa"/>
            <w:vAlign w:val="center"/>
          </w:tcPr>
          <w:p>
            <w:pPr>
              <w:spacing w:line="360" w:lineRule="auto"/>
              <w:jc w:val="center"/>
              <w:rPr>
                <w:rFonts w:ascii="宋体" w:hAnsi="宋体"/>
                <w:b/>
                <w:kern w:val="0"/>
                <w:sz w:val="24"/>
              </w:rPr>
            </w:pPr>
            <w:r>
              <w:rPr>
                <w:rFonts w:hint="eastAsia" w:ascii="宋体" w:hAnsi="宋体"/>
                <w:b/>
                <w:kern w:val="0"/>
                <w:sz w:val="24"/>
              </w:rPr>
              <w:t>证券数量</w:t>
            </w:r>
          </w:p>
        </w:tc>
        <w:tc>
          <w:tcPr>
            <w:tcW w:w="1377" w:type="dxa"/>
            <w:vAlign w:val="center"/>
          </w:tcPr>
          <w:p>
            <w:pPr>
              <w:spacing w:line="360" w:lineRule="auto"/>
              <w:jc w:val="center"/>
              <w:rPr>
                <w:rFonts w:ascii="宋体" w:hAnsi="宋体"/>
                <w:b/>
                <w:kern w:val="0"/>
                <w:sz w:val="24"/>
              </w:rPr>
            </w:pPr>
            <w:r>
              <w:rPr>
                <w:rFonts w:hint="eastAsia" w:ascii="宋体" w:hAnsi="宋体"/>
                <w:b/>
                <w:kern w:val="0"/>
                <w:sz w:val="24"/>
              </w:rPr>
              <w:t>股份性质</w:t>
            </w:r>
          </w:p>
        </w:tc>
        <w:tc>
          <w:tcPr>
            <w:tcW w:w="1377" w:type="dxa"/>
            <w:vAlign w:val="center"/>
          </w:tcPr>
          <w:p>
            <w:pPr>
              <w:spacing w:line="360" w:lineRule="auto"/>
              <w:jc w:val="center"/>
              <w:rPr>
                <w:rFonts w:ascii="宋体" w:hAnsi="宋体"/>
                <w:b/>
                <w:kern w:val="0"/>
                <w:sz w:val="24"/>
              </w:rPr>
            </w:pPr>
            <w:r>
              <w:rPr>
                <w:rFonts w:hint="eastAsia" w:ascii="宋体" w:hAnsi="宋体"/>
                <w:b/>
                <w:kern w:val="0"/>
                <w:sz w:val="24"/>
              </w:rPr>
              <w:t>调出托管单元编码及名称</w:t>
            </w:r>
          </w:p>
        </w:tc>
        <w:tc>
          <w:tcPr>
            <w:tcW w:w="1418" w:type="dxa"/>
            <w:vAlign w:val="center"/>
          </w:tcPr>
          <w:p>
            <w:pPr>
              <w:spacing w:line="360" w:lineRule="auto"/>
              <w:jc w:val="center"/>
              <w:rPr>
                <w:rFonts w:ascii="宋体" w:hAnsi="宋体"/>
                <w:b/>
                <w:kern w:val="0"/>
                <w:sz w:val="24"/>
              </w:rPr>
            </w:pPr>
            <w:r>
              <w:rPr>
                <w:rFonts w:hint="eastAsia" w:ascii="宋体" w:hAnsi="宋体"/>
                <w:b/>
                <w:kern w:val="0"/>
                <w:sz w:val="24"/>
              </w:rPr>
              <w:t>调入托管单元编码及名称</w:t>
            </w:r>
          </w:p>
        </w:tc>
        <w:tc>
          <w:tcPr>
            <w:tcW w:w="1417" w:type="dxa"/>
            <w:vAlign w:val="center"/>
          </w:tcPr>
          <w:p>
            <w:pPr>
              <w:spacing w:line="360" w:lineRule="auto"/>
              <w:jc w:val="center"/>
              <w:rPr>
                <w:rFonts w:ascii="宋体" w:hAnsi="宋体"/>
                <w:b/>
                <w:kern w:val="0"/>
                <w:sz w:val="24"/>
              </w:rPr>
            </w:pPr>
            <w:r>
              <w:rPr>
                <w:rFonts w:hint="eastAsia" w:ascii="宋体" w:hAnsi="宋体"/>
                <w:b/>
                <w:kern w:val="0"/>
                <w:sz w:val="24"/>
              </w:rPr>
              <w:t>红利金额（如有）</w:t>
            </w:r>
          </w:p>
        </w:tc>
        <w:tc>
          <w:tcPr>
            <w:tcW w:w="851" w:type="dxa"/>
            <w:vAlign w:val="center"/>
          </w:tcPr>
          <w:p>
            <w:pPr>
              <w:spacing w:line="360" w:lineRule="auto"/>
              <w:jc w:val="center"/>
              <w:rPr>
                <w:rFonts w:ascii="宋体" w:hAnsi="宋体"/>
                <w:b/>
                <w:kern w:val="0"/>
                <w:sz w:val="24"/>
              </w:rPr>
            </w:pPr>
            <w:r>
              <w:rPr>
                <w:rFonts w:hint="eastAsia" w:ascii="宋体" w:hAnsi="宋体"/>
                <w:b/>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4" w:type="dxa"/>
          </w:tcPr>
          <w:p>
            <w:pPr>
              <w:spacing w:line="360" w:lineRule="auto"/>
              <w:jc w:val="left"/>
              <w:rPr>
                <w:rFonts w:ascii="宋体" w:hAnsi="宋体"/>
                <w:kern w:val="0"/>
                <w:sz w:val="24"/>
              </w:rPr>
            </w:pPr>
          </w:p>
        </w:tc>
        <w:tc>
          <w:tcPr>
            <w:tcW w:w="1559" w:type="dxa"/>
          </w:tcPr>
          <w:p>
            <w:pPr>
              <w:spacing w:line="360" w:lineRule="auto"/>
              <w:jc w:val="left"/>
              <w:rPr>
                <w:rFonts w:ascii="宋体" w:hAnsi="宋体"/>
                <w:kern w:val="0"/>
                <w:sz w:val="24"/>
              </w:rPr>
            </w:pPr>
            <w:r>
              <w:rPr>
                <w:rFonts w:hint="eastAsia" w:ascii="宋体" w:hAnsi="宋体"/>
                <w:kern w:val="0"/>
                <w:sz w:val="24"/>
              </w:rPr>
              <w:t>（申请调整托管单元的证券账户名称）</w:t>
            </w:r>
          </w:p>
        </w:tc>
        <w:tc>
          <w:tcPr>
            <w:tcW w:w="1332" w:type="dxa"/>
          </w:tcPr>
          <w:p>
            <w:pPr>
              <w:spacing w:line="360" w:lineRule="auto"/>
              <w:jc w:val="left"/>
              <w:rPr>
                <w:rFonts w:ascii="宋体" w:hAnsi="宋体"/>
                <w:kern w:val="0"/>
                <w:sz w:val="24"/>
              </w:rPr>
            </w:pPr>
            <w:r>
              <w:rPr>
                <w:rFonts w:hint="eastAsia" w:ascii="宋体" w:hAnsi="宋体"/>
                <w:kern w:val="0"/>
                <w:sz w:val="24"/>
              </w:rPr>
              <w:t>（该证券账户登记的该证券数量）</w:t>
            </w:r>
          </w:p>
        </w:tc>
        <w:tc>
          <w:tcPr>
            <w:tcW w:w="1377" w:type="dxa"/>
          </w:tcPr>
          <w:p>
            <w:pPr>
              <w:spacing w:line="360" w:lineRule="auto"/>
              <w:jc w:val="left"/>
              <w:rPr>
                <w:rFonts w:ascii="宋体" w:hAnsi="宋体"/>
                <w:color w:val="FF0000"/>
                <w:kern w:val="0"/>
                <w:sz w:val="24"/>
              </w:rPr>
            </w:pPr>
          </w:p>
        </w:tc>
        <w:tc>
          <w:tcPr>
            <w:tcW w:w="1377" w:type="dxa"/>
          </w:tcPr>
          <w:p>
            <w:pPr>
              <w:spacing w:line="360" w:lineRule="auto"/>
              <w:jc w:val="left"/>
              <w:rPr>
                <w:rFonts w:ascii="宋体" w:hAnsi="宋体"/>
                <w:color w:val="FF0000"/>
                <w:kern w:val="0"/>
                <w:sz w:val="24"/>
              </w:rPr>
            </w:pPr>
          </w:p>
        </w:tc>
        <w:tc>
          <w:tcPr>
            <w:tcW w:w="1418" w:type="dxa"/>
          </w:tcPr>
          <w:p>
            <w:pPr>
              <w:spacing w:line="360" w:lineRule="auto"/>
              <w:jc w:val="left"/>
              <w:rPr>
                <w:rFonts w:ascii="宋体" w:hAnsi="宋体"/>
                <w:color w:val="FF0000"/>
                <w:kern w:val="0"/>
                <w:sz w:val="24"/>
              </w:rPr>
            </w:pPr>
          </w:p>
        </w:tc>
        <w:tc>
          <w:tcPr>
            <w:tcW w:w="1417" w:type="dxa"/>
          </w:tcPr>
          <w:p>
            <w:pPr>
              <w:spacing w:line="360" w:lineRule="auto"/>
              <w:jc w:val="left"/>
              <w:rPr>
                <w:rFonts w:ascii="宋体" w:hAnsi="宋体"/>
                <w:color w:val="FF0000"/>
                <w:kern w:val="0"/>
                <w:sz w:val="24"/>
              </w:rPr>
            </w:pPr>
          </w:p>
        </w:tc>
        <w:tc>
          <w:tcPr>
            <w:tcW w:w="851" w:type="dxa"/>
          </w:tcPr>
          <w:p>
            <w:pPr>
              <w:spacing w:line="360" w:lineRule="auto"/>
              <w:jc w:val="left"/>
              <w:rPr>
                <w:rFonts w:ascii="宋体" w:hAnsi="宋体"/>
                <w:color w:val="FF0000"/>
                <w:kern w:val="0"/>
                <w:sz w:val="24"/>
              </w:rPr>
            </w:pPr>
          </w:p>
        </w:tc>
      </w:tr>
    </w:tbl>
    <w:p>
      <w:pPr>
        <w:spacing w:line="360" w:lineRule="auto"/>
        <w:ind w:firstLine="480" w:firstLineChars="200"/>
        <w:rPr>
          <w:rFonts w:ascii="宋体" w:hAnsi="宋体"/>
          <w:sz w:val="24"/>
        </w:rPr>
      </w:pPr>
      <w:r>
        <w:rPr>
          <w:rFonts w:hint="eastAsia" w:ascii="宋体" w:hAnsi="宋体"/>
          <w:sz w:val="24"/>
        </w:rPr>
        <w:t>因本次托管单元调整可能产生的风险及法律责任由</w:t>
      </w:r>
      <w:r>
        <w:rPr>
          <w:rFonts w:hint="eastAsia" w:ascii="宋体" w:hAnsi="宋体"/>
          <w:sz w:val="24"/>
          <w:u w:val="single"/>
        </w:rPr>
        <w:t>【责任方】</w:t>
      </w:r>
      <w:r>
        <w:rPr>
          <w:rFonts w:hint="eastAsia" w:ascii="宋体" w:hAnsi="宋体"/>
          <w:sz w:val="24"/>
        </w:rPr>
        <w:t>承担，与中国证券登记结算有限责任公司深圳分公司无关。</w:t>
      </w:r>
    </w:p>
    <w:p>
      <w:pPr>
        <w:spacing w:line="360" w:lineRule="auto"/>
        <w:ind w:firstLine="480" w:firstLineChars="200"/>
        <w:rPr>
          <w:rFonts w:ascii="宋体" w:hAnsi="宋体"/>
          <w:sz w:val="24"/>
        </w:rPr>
      </w:pPr>
    </w:p>
    <w:p>
      <w:pPr>
        <w:spacing w:line="360" w:lineRule="auto"/>
        <w:ind w:firstLine="480" w:firstLineChars="200"/>
        <w:rPr>
          <w:rFonts w:ascii="宋体" w:hAnsi="宋体"/>
          <w:sz w:val="24"/>
        </w:rPr>
      </w:pPr>
    </w:p>
    <w:p>
      <w:pPr>
        <w:wordWrap w:val="0"/>
        <w:spacing w:line="360" w:lineRule="auto"/>
        <w:ind w:firstLine="480" w:firstLineChars="200"/>
        <w:jc w:val="right"/>
        <w:rPr>
          <w:rFonts w:ascii="宋体" w:hAnsi="宋体"/>
          <w:sz w:val="24"/>
        </w:rPr>
      </w:pPr>
      <w:r>
        <w:rPr>
          <w:rFonts w:hint="eastAsia" w:ascii="宋体" w:hAnsi="宋体"/>
          <w:sz w:val="24"/>
        </w:rPr>
        <w:t>申请人</w:t>
      </w:r>
      <w:r>
        <w:rPr>
          <w:rFonts w:ascii="宋体" w:hAnsi="宋体"/>
          <w:sz w:val="24"/>
        </w:rPr>
        <w:t>：</w:t>
      </w:r>
      <w:r>
        <w:rPr>
          <w:rFonts w:hint="eastAsia" w:ascii="宋体" w:hAnsi="宋体"/>
          <w:sz w:val="24"/>
          <w:u w:val="single"/>
        </w:rPr>
        <w:t>（发行人/主承销商/投资者）</w:t>
      </w:r>
      <w:r>
        <w:rPr>
          <w:rFonts w:hint="eastAsia" w:ascii="宋体" w:hAnsi="宋体"/>
          <w:sz w:val="24"/>
        </w:rPr>
        <w:t>（法人加盖</w:t>
      </w:r>
      <w:r>
        <w:rPr>
          <w:rFonts w:ascii="宋体" w:hAnsi="宋体"/>
          <w:sz w:val="24"/>
        </w:rPr>
        <w:t>公章</w:t>
      </w:r>
      <w:r>
        <w:rPr>
          <w:rFonts w:hint="eastAsia" w:ascii="宋体" w:hAnsi="宋体"/>
          <w:sz w:val="24"/>
        </w:rPr>
        <w:t>，自然人签字</w:t>
      </w:r>
      <w:r>
        <w:rPr>
          <w:rFonts w:ascii="宋体" w:hAnsi="宋体"/>
          <w:sz w:val="24"/>
        </w:rPr>
        <w:t>）</w:t>
      </w:r>
    </w:p>
    <w:p>
      <w:pPr>
        <w:wordWrap w:val="0"/>
        <w:spacing w:line="360" w:lineRule="auto"/>
        <w:ind w:right="720" w:firstLine="480" w:firstLineChars="200"/>
        <w:jc w:val="right"/>
        <w:rPr>
          <w:rFonts w:ascii="宋体" w:hAnsi="宋体"/>
          <w:sz w:val="24"/>
        </w:rPr>
      </w:pPr>
      <w:r>
        <w:rPr>
          <w:rFonts w:hint="eastAsia" w:ascii="宋体" w:hAnsi="宋体"/>
          <w:sz w:val="24"/>
        </w:rPr>
        <w:t xml:space="preserve">年   月   日  </w:t>
      </w:r>
    </w:p>
    <w:sectPr>
      <w:headerReference r:id="rId3" w:type="default"/>
      <w:footerReference r:id="rId4" w:type="default"/>
      <w:pgSz w:w="11906" w:h="16838"/>
      <w:pgMar w:top="1361" w:right="1474" w:bottom="1361" w:left="1588" w:header="851" w:footer="1418" w:gutter="0"/>
      <w:pgNumType w:start="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0000019F"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52787944"/>
      <w:docPartObj>
        <w:docPartGallery w:val="autotext"/>
      </w:docPartObj>
    </w:sdtPr>
    <w:sdtContent>
      <w:p>
        <w:pPr>
          <w:pStyle w:val="10"/>
          <w:jc w:val="center"/>
        </w:pPr>
        <w:r>
          <w:fldChar w:fldCharType="begin"/>
        </w:r>
        <w:r>
          <w:instrText xml:space="preserve"> PAGE   \* MERGEFORMAT </w:instrText>
        </w:r>
        <w:r>
          <w:fldChar w:fldCharType="separate"/>
        </w:r>
        <w:r>
          <w:rPr>
            <w:lang w:val="zh-CN"/>
          </w:rPr>
          <w:t>0</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8240" behindDoc="0" locked="0" layoutInCell="1" allowOverlap="1">
              <wp:simplePos x="0" y="0"/>
              <wp:positionH relativeFrom="column">
                <wp:posOffset>333375</wp:posOffset>
              </wp:positionH>
              <wp:positionV relativeFrom="paragraph">
                <wp:posOffset>-635</wp:posOffset>
              </wp:positionV>
              <wp:extent cx="2646045" cy="353695"/>
              <wp:effectExtent l="0" t="0" r="1905" b="8255"/>
              <wp:wrapNone/>
              <wp:docPr id="1" name="文本框 2"/>
              <wp:cNvGraphicFramePr/>
              <a:graphic xmlns:a="http://schemas.openxmlformats.org/drawingml/2006/main">
                <a:graphicData uri="http://schemas.microsoft.com/office/word/2010/wordprocessingShape">
                  <wps:wsp>
                    <wps:cNvSpPr txBox="true"/>
                    <wps:spPr>
                      <a:xfrm>
                        <a:off x="0" y="0"/>
                        <a:ext cx="2646045" cy="353695"/>
                      </a:xfrm>
                      <a:prstGeom prst="rect">
                        <a:avLst/>
                      </a:prstGeom>
                      <a:solidFill>
                        <a:srgbClr val="FFFFFF"/>
                      </a:solidFill>
                      <a:ln>
                        <a:noFill/>
                      </a:ln>
                    </wps:spPr>
                    <wps:txbx>
                      <w:txbxContent>
                        <w:p>
                          <w:pPr>
                            <w:pStyle w:val="11"/>
                            <w:pBdr>
                              <w:bottom w:val="none" w:color="auto" w:sz="0" w:space="0"/>
                            </w:pBdr>
                            <w:jc w:val="left"/>
                            <w:rPr>
                              <w:color w:val="000000"/>
                            </w:rPr>
                          </w:pPr>
                        </w:p>
                      </w:txbxContent>
                    </wps:txbx>
                    <wps:bodyPr upright="true"/>
                  </wps:wsp>
                </a:graphicData>
              </a:graphic>
            </wp:anchor>
          </w:drawing>
        </mc:Choice>
        <mc:Fallback>
          <w:pict>
            <v:shape id="文本框 2" o:spid="_x0000_s1026" o:spt="202" type="#_x0000_t202" style="position:absolute;left:0pt;margin-left:26.25pt;margin-top:-0.05pt;height:27.85pt;width:208.35pt;z-index:251658240;mso-width-relative:page;mso-height-relative:page;" fillcolor="#FFFFFF" filled="t" stroked="f" coordsize="21600,21600" o:gfxdata="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BYAAABkcnMvUEsBAhQAFAAA&#10;AAgAh07iQEMeoX7UAAAABwEAAA8AAAAAAAAAAQAgAAAAOAAAAGRycy9kb3ducmV2LnhtbFBLAQIU&#10;ABQAAAAIAIdO4kDryT+OqAEAAC8DAAAOAAAAAAAAAAEAIAAAADkBAABkcnMvZTJvRG9jLnhtbFBL&#10;BQYAAAAABgAGAFkBAABTBQAAAAA=&#10;">
              <v:fill on="t" focussize="0,0"/>
              <v:stroke on="f"/>
              <v:imagedata o:title=""/>
              <o:lock v:ext="edit" aspectratio="f"/>
              <v:textbox>
                <w:txbxContent>
                  <w:p>
                    <w:pPr>
                      <w:pStyle w:val="11"/>
                      <w:pBdr>
                        <w:bottom w:val="none" w:color="auto" w:sz="0" w:space="0"/>
                      </w:pBdr>
                      <w:jc w:val="left"/>
                      <w:rPr>
                        <w:color w:val="000000"/>
                      </w:rPr>
                    </w:pP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true"/>
  <w:bordersDoNotSurroundFooter w:val="true"/>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59C"/>
    <w:rsid w:val="0000040D"/>
    <w:rsid w:val="000034B8"/>
    <w:rsid w:val="00006576"/>
    <w:rsid w:val="0001498F"/>
    <w:rsid w:val="00016D48"/>
    <w:rsid w:val="00025C85"/>
    <w:rsid w:val="0003344D"/>
    <w:rsid w:val="000367B3"/>
    <w:rsid w:val="00036AA2"/>
    <w:rsid w:val="000378E2"/>
    <w:rsid w:val="00040B86"/>
    <w:rsid w:val="00041A65"/>
    <w:rsid w:val="0004462A"/>
    <w:rsid w:val="00044B65"/>
    <w:rsid w:val="00046EE1"/>
    <w:rsid w:val="0005164F"/>
    <w:rsid w:val="000516A5"/>
    <w:rsid w:val="0005498F"/>
    <w:rsid w:val="00060922"/>
    <w:rsid w:val="000611CE"/>
    <w:rsid w:val="00061D1A"/>
    <w:rsid w:val="00062E6A"/>
    <w:rsid w:val="00064626"/>
    <w:rsid w:val="0006683A"/>
    <w:rsid w:val="00081CDF"/>
    <w:rsid w:val="00082F3C"/>
    <w:rsid w:val="00086ADE"/>
    <w:rsid w:val="000A0E32"/>
    <w:rsid w:val="000A68D7"/>
    <w:rsid w:val="000B01DF"/>
    <w:rsid w:val="000B4133"/>
    <w:rsid w:val="000B4BCD"/>
    <w:rsid w:val="000C1403"/>
    <w:rsid w:val="000C624A"/>
    <w:rsid w:val="000C6CC9"/>
    <w:rsid w:val="000D0A38"/>
    <w:rsid w:val="000D21CA"/>
    <w:rsid w:val="000D2944"/>
    <w:rsid w:val="000D711C"/>
    <w:rsid w:val="000E0015"/>
    <w:rsid w:val="000E0A05"/>
    <w:rsid w:val="000E1020"/>
    <w:rsid w:val="000E5534"/>
    <w:rsid w:val="000F3598"/>
    <w:rsid w:val="000F3C85"/>
    <w:rsid w:val="000F3D41"/>
    <w:rsid w:val="000F78A7"/>
    <w:rsid w:val="0010104C"/>
    <w:rsid w:val="00107EC0"/>
    <w:rsid w:val="0011248B"/>
    <w:rsid w:val="0011522C"/>
    <w:rsid w:val="00120E44"/>
    <w:rsid w:val="00124726"/>
    <w:rsid w:val="00130E76"/>
    <w:rsid w:val="00153A59"/>
    <w:rsid w:val="00156DB5"/>
    <w:rsid w:val="00160921"/>
    <w:rsid w:val="0016243C"/>
    <w:rsid w:val="00164736"/>
    <w:rsid w:val="00167492"/>
    <w:rsid w:val="0017335F"/>
    <w:rsid w:val="00177349"/>
    <w:rsid w:val="0017744B"/>
    <w:rsid w:val="0018006B"/>
    <w:rsid w:val="00184B89"/>
    <w:rsid w:val="0019215F"/>
    <w:rsid w:val="001955B3"/>
    <w:rsid w:val="001A22C0"/>
    <w:rsid w:val="001B083B"/>
    <w:rsid w:val="001B3ED3"/>
    <w:rsid w:val="001B403C"/>
    <w:rsid w:val="001C0A34"/>
    <w:rsid w:val="001C167E"/>
    <w:rsid w:val="001C21FA"/>
    <w:rsid w:val="001D26C7"/>
    <w:rsid w:val="001D6AFB"/>
    <w:rsid w:val="001E28DA"/>
    <w:rsid w:val="001E4305"/>
    <w:rsid w:val="001E4759"/>
    <w:rsid w:val="001E647D"/>
    <w:rsid w:val="001E7B74"/>
    <w:rsid w:val="001F3154"/>
    <w:rsid w:val="001F3A13"/>
    <w:rsid w:val="00205705"/>
    <w:rsid w:val="00207FC4"/>
    <w:rsid w:val="00211898"/>
    <w:rsid w:val="0021464D"/>
    <w:rsid w:val="00222E22"/>
    <w:rsid w:val="00224731"/>
    <w:rsid w:val="002256AE"/>
    <w:rsid w:val="002323FF"/>
    <w:rsid w:val="002324AA"/>
    <w:rsid w:val="00236FD2"/>
    <w:rsid w:val="00240D72"/>
    <w:rsid w:val="00250C17"/>
    <w:rsid w:val="00253A4D"/>
    <w:rsid w:val="002548A9"/>
    <w:rsid w:val="00255414"/>
    <w:rsid w:val="00267DB4"/>
    <w:rsid w:val="00274FD8"/>
    <w:rsid w:val="0027784B"/>
    <w:rsid w:val="00277CEA"/>
    <w:rsid w:val="00281837"/>
    <w:rsid w:val="00282DA6"/>
    <w:rsid w:val="00284640"/>
    <w:rsid w:val="00285079"/>
    <w:rsid w:val="00291549"/>
    <w:rsid w:val="002A1655"/>
    <w:rsid w:val="002B0E9C"/>
    <w:rsid w:val="002B2688"/>
    <w:rsid w:val="002B3AD2"/>
    <w:rsid w:val="002B683A"/>
    <w:rsid w:val="002C353C"/>
    <w:rsid w:val="002C4293"/>
    <w:rsid w:val="002C6F41"/>
    <w:rsid w:val="002D4AE2"/>
    <w:rsid w:val="002F2672"/>
    <w:rsid w:val="002F4B8E"/>
    <w:rsid w:val="002F5483"/>
    <w:rsid w:val="00300891"/>
    <w:rsid w:val="00301D21"/>
    <w:rsid w:val="003037F0"/>
    <w:rsid w:val="00310467"/>
    <w:rsid w:val="003108D1"/>
    <w:rsid w:val="003149B5"/>
    <w:rsid w:val="0031511C"/>
    <w:rsid w:val="00315D0E"/>
    <w:rsid w:val="00316014"/>
    <w:rsid w:val="00320667"/>
    <w:rsid w:val="003241D6"/>
    <w:rsid w:val="00327392"/>
    <w:rsid w:val="00330D90"/>
    <w:rsid w:val="003317BD"/>
    <w:rsid w:val="003342DC"/>
    <w:rsid w:val="0033599F"/>
    <w:rsid w:val="003378C6"/>
    <w:rsid w:val="00337CB1"/>
    <w:rsid w:val="0035136D"/>
    <w:rsid w:val="00361C86"/>
    <w:rsid w:val="003704C2"/>
    <w:rsid w:val="003708BF"/>
    <w:rsid w:val="00371430"/>
    <w:rsid w:val="00373125"/>
    <w:rsid w:val="003738B0"/>
    <w:rsid w:val="003773F1"/>
    <w:rsid w:val="003857AD"/>
    <w:rsid w:val="00385FD3"/>
    <w:rsid w:val="00391F32"/>
    <w:rsid w:val="003A00CD"/>
    <w:rsid w:val="003A2D26"/>
    <w:rsid w:val="003B06AD"/>
    <w:rsid w:val="003B490A"/>
    <w:rsid w:val="003B509B"/>
    <w:rsid w:val="003C7176"/>
    <w:rsid w:val="003D2647"/>
    <w:rsid w:val="003D2F2F"/>
    <w:rsid w:val="003D385E"/>
    <w:rsid w:val="003D53F0"/>
    <w:rsid w:val="003E03D8"/>
    <w:rsid w:val="003E67A2"/>
    <w:rsid w:val="003E6BC1"/>
    <w:rsid w:val="003F181A"/>
    <w:rsid w:val="003F6EC8"/>
    <w:rsid w:val="003F799C"/>
    <w:rsid w:val="00404A7C"/>
    <w:rsid w:val="00405391"/>
    <w:rsid w:val="00410221"/>
    <w:rsid w:val="004107A4"/>
    <w:rsid w:val="00410B4A"/>
    <w:rsid w:val="00417B57"/>
    <w:rsid w:val="00424BB1"/>
    <w:rsid w:val="00432594"/>
    <w:rsid w:val="0043529C"/>
    <w:rsid w:val="00437FE5"/>
    <w:rsid w:val="00443D65"/>
    <w:rsid w:val="00446CC2"/>
    <w:rsid w:val="004529C5"/>
    <w:rsid w:val="00452EFF"/>
    <w:rsid w:val="0045678A"/>
    <w:rsid w:val="00457B75"/>
    <w:rsid w:val="00457CB0"/>
    <w:rsid w:val="0046048B"/>
    <w:rsid w:val="00464989"/>
    <w:rsid w:val="00474A6F"/>
    <w:rsid w:val="0047695B"/>
    <w:rsid w:val="004919FC"/>
    <w:rsid w:val="004A71F1"/>
    <w:rsid w:val="004B0065"/>
    <w:rsid w:val="004B4C79"/>
    <w:rsid w:val="004D052E"/>
    <w:rsid w:val="004D177A"/>
    <w:rsid w:val="004D7C46"/>
    <w:rsid w:val="004E4707"/>
    <w:rsid w:val="004E6A3E"/>
    <w:rsid w:val="004F3407"/>
    <w:rsid w:val="004F40B0"/>
    <w:rsid w:val="005014A8"/>
    <w:rsid w:val="00501761"/>
    <w:rsid w:val="00506050"/>
    <w:rsid w:val="0051505A"/>
    <w:rsid w:val="005310C7"/>
    <w:rsid w:val="0054065E"/>
    <w:rsid w:val="00541B50"/>
    <w:rsid w:val="00544E1B"/>
    <w:rsid w:val="00544F7C"/>
    <w:rsid w:val="00553632"/>
    <w:rsid w:val="00555479"/>
    <w:rsid w:val="005672AF"/>
    <w:rsid w:val="005714E7"/>
    <w:rsid w:val="00585027"/>
    <w:rsid w:val="005856F8"/>
    <w:rsid w:val="005A25CE"/>
    <w:rsid w:val="005B2BA1"/>
    <w:rsid w:val="005B4A62"/>
    <w:rsid w:val="005B5284"/>
    <w:rsid w:val="005C2800"/>
    <w:rsid w:val="005C3699"/>
    <w:rsid w:val="005D0116"/>
    <w:rsid w:val="005D15DE"/>
    <w:rsid w:val="005D168E"/>
    <w:rsid w:val="005D2980"/>
    <w:rsid w:val="005D59A7"/>
    <w:rsid w:val="005D7A5F"/>
    <w:rsid w:val="005E2567"/>
    <w:rsid w:val="005E5427"/>
    <w:rsid w:val="005E5B49"/>
    <w:rsid w:val="005E5FB5"/>
    <w:rsid w:val="005F06E3"/>
    <w:rsid w:val="006114C0"/>
    <w:rsid w:val="00611EE9"/>
    <w:rsid w:val="00612709"/>
    <w:rsid w:val="00612A4B"/>
    <w:rsid w:val="00617D70"/>
    <w:rsid w:val="00620CE7"/>
    <w:rsid w:val="0062154F"/>
    <w:rsid w:val="00630B76"/>
    <w:rsid w:val="00633569"/>
    <w:rsid w:val="00635F9C"/>
    <w:rsid w:val="00636998"/>
    <w:rsid w:val="006473FF"/>
    <w:rsid w:val="0065155E"/>
    <w:rsid w:val="006533C6"/>
    <w:rsid w:val="00660B78"/>
    <w:rsid w:val="0066250E"/>
    <w:rsid w:val="006662BA"/>
    <w:rsid w:val="006725B4"/>
    <w:rsid w:val="00676321"/>
    <w:rsid w:val="00676ED3"/>
    <w:rsid w:val="00681434"/>
    <w:rsid w:val="00683BCC"/>
    <w:rsid w:val="00693732"/>
    <w:rsid w:val="006968E8"/>
    <w:rsid w:val="00697AC0"/>
    <w:rsid w:val="006A15A1"/>
    <w:rsid w:val="006B002B"/>
    <w:rsid w:val="006B1CAF"/>
    <w:rsid w:val="006B26BC"/>
    <w:rsid w:val="006C0CCE"/>
    <w:rsid w:val="006C2D29"/>
    <w:rsid w:val="006C7181"/>
    <w:rsid w:val="006D2086"/>
    <w:rsid w:val="006D2DCF"/>
    <w:rsid w:val="006D37AE"/>
    <w:rsid w:val="006D3B29"/>
    <w:rsid w:val="006D4220"/>
    <w:rsid w:val="006D5AA0"/>
    <w:rsid w:val="006D64B8"/>
    <w:rsid w:val="006F05ED"/>
    <w:rsid w:val="006F0FAE"/>
    <w:rsid w:val="006F1849"/>
    <w:rsid w:val="006F6E0C"/>
    <w:rsid w:val="006F78EB"/>
    <w:rsid w:val="0070193C"/>
    <w:rsid w:val="007049CD"/>
    <w:rsid w:val="0072249C"/>
    <w:rsid w:val="0072500A"/>
    <w:rsid w:val="00727812"/>
    <w:rsid w:val="00731669"/>
    <w:rsid w:val="00734623"/>
    <w:rsid w:val="00735A11"/>
    <w:rsid w:val="007378ED"/>
    <w:rsid w:val="00740EB6"/>
    <w:rsid w:val="00744048"/>
    <w:rsid w:val="0074653B"/>
    <w:rsid w:val="00753182"/>
    <w:rsid w:val="00754B89"/>
    <w:rsid w:val="00771852"/>
    <w:rsid w:val="00771DF1"/>
    <w:rsid w:val="00787D9B"/>
    <w:rsid w:val="0079032D"/>
    <w:rsid w:val="00790E49"/>
    <w:rsid w:val="00793738"/>
    <w:rsid w:val="00797DC9"/>
    <w:rsid w:val="007A33DD"/>
    <w:rsid w:val="007B0A8C"/>
    <w:rsid w:val="007B1DBB"/>
    <w:rsid w:val="007C0966"/>
    <w:rsid w:val="007C4309"/>
    <w:rsid w:val="007C7CC3"/>
    <w:rsid w:val="007D0806"/>
    <w:rsid w:val="007D16AA"/>
    <w:rsid w:val="007E59E5"/>
    <w:rsid w:val="007E6ACC"/>
    <w:rsid w:val="007E78C5"/>
    <w:rsid w:val="007E7AA3"/>
    <w:rsid w:val="007F40EA"/>
    <w:rsid w:val="008007DC"/>
    <w:rsid w:val="00810C72"/>
    <w:rsid w:val="00812422"/>
    <w:rsid w:val="00813444"/>
    <w:rsid w:val="008228BA"/>
    <w:rsid w:val="00823D2D"/>
    <w:rsid w:val="00824739"/>
    <w:rsid w:val="00830FDF"/>
    <w:rsid w:val="0083311B"/>
    <w:rsid w:val="00834950"/>
    <w:rsid w:val="008412E4"/>
    <w:rsid w:val="0084234A"/>
    <w:rsid w:val="0084483A"/>
    <w:rsid w:val="00845233"/>
    <w:rsid w:val="00845633"/>
    <w:rsid w:val="0085033E"/>
    <w:rsid w:val="008552E5"/>
    <w:rsid w:val="008630CC"/>
    <w:rsid w:val="00884AD6"/>
    <w:rsid w:val="008A36FA"/>
    <w:rsid w:val="008A40C8"/>
    <w:rsid w:val="008A79A1"/>
    <w:rsid w:val="008B102A"/>
    <w:rsid w:val="008B213A"/>
    <w:rsid w:val="008C1DF1"/>
    <w:rsid w:val="008C5693"/>
    <w:rsid w:val="008E30A3"/>
    <w:rsid w:val="008E691E"/>
    <w:rsid w:val="008F0899"/>
    <w:rsid w:val="008F1270"/>
    <w:rsid w:val="0090492B"/>
    <w:rsid w:val="00907639"/>
    <w:rsid w:val="0091256E"/>
    <w:rsid w:val="009164CC"/>
    <w:rsid w:val="00920B56"/>
    <w:rsid w:val="00922215"/>
    <w:rsid w:val="009233CD"/>
    <w:rsid w:val="0093621F"/>
    <w:rsid w:val="00942D42"/>
    <w:rsid w:val="00945342"/>
    <w:rsid w:val="00956461"/>
    <w:rsid w:val="009575A6"/>
    <w:rsid w:val="00961B12"/>
    <w:rsid w:val="009629C0"/>
    <w:rsid w:val="00962B7D"/>
    <w:rsid w:val="00967341"/>
    <w:rsid w:val="00967DAF"/>
    <w:rsid w:val="00976B20"/>
    <w:rsid w:val="00980FEE"/>
    <w:rsid w:val="009828CB"/>
    <w:rsid w:val="00991357"/>
    <w:rsid w:val="0099389D"/>
    <w:rsid w:val="00995836"/>
    <w:rsid w:val="009A0237"/>
    <w:rsid w:val="009A19DA"/>
    <w:rsid w:val="009A1C87"/>
    <w:rsid w:val="009A26DD"/>
    <w:rsid w:val="009A67D2"/>
    <w:rsid w:val="009B00D2"/>
    <w:rsid w:val="009B4306"/>
    <w:rsid w:val="009C13D6"/>
    <w:rsid w:val="009C4795"/>
    <w:rsid w:val="009F4DAE"/>
    <w:rsid w:val="00A30139"/>
    <w:rsid w:val="00A36CF9"/>
    <w:rsid w:val="00A4160F"/>
    <w:rsid w:val="00A44967"/>
    <w:rsid w:val="00A64ECD"/>
    <w:rsid w:val="00A7564C"/>
    <w:rsid w:val="00A75A27"/>
    <w:rsid w:val="00A86216"/>
    <w:rsid w:val="00A8657B"/>
    <w:rsid w:val="00A909A2"/>
    <w:rsid w:val="00A917D9"/>
    <w:rsid w:val="00A93A8C"/>
    <w:rsid w:val="00A97679"/>
    <w:rsid w:val="00A97712"/>
    <w:rsid w:val="00AA1989"/>
    <w:rsid w:val="00AB0980"/>
    <w:rsid w:val="00AB48DC"/>
    <w:rsid w:val="00AB7AB6"/>
    <w:rsid w:val="00AC11B8"/>
    <w:rsid w:val="00AC5D80"/>
    <w:rsid w:val="00AD1379"/>
    <w:rsid w:val="00AD5D8C"/>
    <w:rsid w:val="00AD784F"/>
    <w:rsid w:val="00AE1528"/>
    <w:rsid w:val="00AE60D1"/>
    <w:rsid w:val="00AF1812"/>
    <w:rsid w:val="00AF1B4F"/>
    <w:rsid w:val="00AF2AE5"/>
    <w:rsid w:val="00B05381"/>
    <w:rsid w:val="00B10DE7"/>
    <w:rsid w:val="00B16000"/>
    <w:rsid w:val="00B20697"/>
    <w:rsid w:val="00B27A6B"/>
    <w:rsid w:val="00B32F86"/>
    <w:rsid w:val="00B33E95"/>
    <w:rsid w:val="00B35B34"/>
    <w:rsid w:val="00B4217A"/>
    <w:rsid w:val="00B446A4"/>
    <w:rsid w:val="00B461F0"/>
    <w:rsid w:val="00B52EC2"/>
    <w:rsid w:val="00B55A31"/>
    <w:rsid w:val="00B63183"/>
    <w:rsid w:val="00B64DB3"/>
    <w:rsid w:val="00B72068"/>
    <w:rsid w:val="00B73814"/>
    <w:rsid w:val="00B77CDC"/>
    <w:rsid w:val="00B80E9E"/>
    <w:rsid w:val="00BA5EBD"/>
    <w:rsid w:val="00BB1DF4"/>
    <w:rsid w:val="00BC0524"/>
    <w:rsid w:val="00BC307A"/>
    <w:rsid w:val="00BC75CE"/>
    <w:rsid w:val="00BE5449"/>
    <w:rsid w:val="00BE5D2D"/>
    <w:rsid w:val="00BF34E3"/>
    <w:rsid w:val="00BF5644"/>
    <w:rsid w:val="00BF5DC1"/>
    <w:rsid w:val="00C07076"/>
    <w:rsid w:val="00C12A3A"/>
    <w:rsid w:val="00C14E27"/>
    <w:rsid w:val="00C14E38"/>
    <w:rsid w:val="00C20963"/>
    <w:rsid w:val="00C331B6"/>
    <w:rsid w:val="00C37C91"/>
    <w:rsid w:val="00C44F51"/>
    <w:rsid w:val="00C46D13"/>
    <w:rsid w:val="00C500B1"/>
    <w:rsid w:val="00C55D0D"/>
    <w:rsid w:val="00C55EE8"/>
    <w:rsid w:val="00C65944"/>
    <w:rsid w:val="00C71931"/>
    <w:rsid w:val="00C71FA2"/>
    <w:rsid w:val="00C76508"/>
    <w:rsid w:val="00C83D95"/>
    <w:rsid w:val="00C875BC"/>
    <w:rsid w:val="00C91430"/>
    <w:rsid w:val="00C924E9"/>
    <w:rsid w:val="00C947BC"/>
    <w:rsid w:val="00C9491F"/>
    <w:rsid w:val="00CA0B6B"/>
    <w:rsid w:val="00CB1F81"/>
    <w:rsid w:val="00CB3603"/>
    <w:rsid w:val="00CB66DD"/>
    <w:rsid w:val="00CC1C2A"/>
    <w:rsid w:val="00CC4C3E"/>
    <w:rsid w:val="00CC7783"/>
    <w:rsid w:val="00CD0BD7"/>
    <w:rsid w:val="00CD13B4"/>
    <w:rsid w:val="00CE6231"/>
    <w:rsid w:val="00CF41FF"/>
    <w:rsid w:val="00CF5C07"/>
    <w:rsid w:val="00D13F78"/>
    <w:rsid w:val="00D215D9"/>
    <w:rsid w:val="00D27F3F"/>
    <w:rsid w:val="00D31B79"/>
    <w:rsid w:val="00D36C5E"/>
    <w:rsid w:val="00D45881"/>
    <w:rsid w:val="00D5160E"/>
    <w:rsid w:val="00D524BB"/>
    <w:rsid w:val="00D54355"/>
    <w:rsid w:val="00D56EF3"/>
    <w:rsid w:val="00D66996"/>
    <w:rsid w:val="00D70615"/>
    <w:rsid w:val="00D7288D"/>
    <w:rsid w:val="00D74B1B"/>
    <w:rsid w:val="00D80928"/>
    <w:rsid w:val="00D820E6"/>
    <w:rsid w:val="00D832EA"/>
    <w:rsid w:val="00D86FE6"/>
    <w:rsid w:val="00D94CE2"/>
    <w:rsid w:val="00D968FF"/>
    <w:rsid w:val="00DA3EF4"/>
    <w:rsid w:val="00DA456D"/>
    <w:rsid w:val="00DA5508"/>
    <w:rsid w:val="00DB5DDA"/>
    <w:rsid w:val="00DC07C9"/>
    <w:rsid w:val="00DC18B8"/>
    <w:rsid w:val="00DC1FDC"/>
    <w:rsid w:val="00DC6E13"/>
    <w:rsid w:val="00DD0C73"/>
    <w:rsid w:val="00DD5FD3"/>
    <w:rsid w:val="00DD7A6A"/>
    <w:rsid w:val="00DE4264"/>
    <w:rsid w:val="00DE6054"/>
    <w:rsid w:val="00DE7597"/>
    <w:rsid w:val="00DF013D"/>
    <w:rsid w:val="00DF1745"/>
    <w:rsid w:val="00DF2928"/>
    <w:rsid w:val="00DF4A38"/>
    <w:rsid w:val="00DF5453"/>
    <w:rsid w:val="00E03F85"/>
    <w:rsid w:val="00E043C3"/>
    <w:rsid w:val="00E10B4E"/>
    <w:rsid w:val="00E14FB2"/>
    <w:rsid w:val="00E1541B"/>
    <w:rsid w:val="00E156C1"/>
    <w:rsid w:val="00E200AD"/>
    <w:rsid w:val="00E233F2"/>
    <w:rsid w:val="00E24801"/>
    <w:rsid w:val="00E41E5D"/>
    <w:rsid w:val="00E42311"/>
    <w:rsid w:val="00E45CF4"/>
    <w:rsid w:val="00E50D0F"/>
    <w:rsid w:val="00E52E89"/>
    <w:rsid w:val="00E559AB"/>
    <w:rsid w:val="00E647DF"/>
    <w:rsid w:val="00E670CD"/>
    <w:rsid w:val="00E73D29"/>
    <w:rsid w:val="00E74112"/>
    <w:rsid w:val="00E77930"/>
    <w:rsid w:val="00E77F5D"/>
    <w:rsid w:val="00E840E0"/>
    <w:rsid w:val="00E85CFA"/>
    <w:rsid w:val="00E86310"/>
    <w:rsid w:val="00EA459C"/>
    <w:rsid w:val="00EB30FE"/>
    <w:rsid w:val="00EB5C7C"/>
    <w:rsid w:val="00EB6804"/>
    <w:rsid w:val="00EB7FEE"/>
    <w:rsid w:val="00EC144F"/>
    <w:rsid w:val="00EC4CBE"/>
    <w:rsid w:val="00EC7169"/>
    <w:rsid w:val="00ED58F5"/>
    <w:rsid w:val="00EE2EBD"/>
    <w:rsid w:val="00EE45BF"/>
    <w:rsid w:val="00F011AE"/>
    <w:rsid w:val="00F20D0A"/>
    <w:rsid w:val="00F2228D"/>
    <w:rsid w:val="00F231FF"/>
    <w:rsid w:val="00F23DFF"/>
    <w:rsid w:val="00F24126"/>
    <w:rsid w:val="00F24FF0"/>
    <w:rsid w:val="00F31B52"/>
    <w:rsid w:val="00F3583F"/>
    <w:rsid w:val="00F35A31"/>
    <w:rsid w:val="00F40206"/>
    <w:rsid w:val="00F40385"/>
    <w:rsid w:val="00F4118B"/>
    <w:rsid w:val="00F50A20"/>
    <w:rsid w:val="00F529F0"/>
    <w:rsid w:val="00F604B9"/>
    <w:rsid w:val="00F6050A"/>
    <w:rsid w:val="00F62635"/>
    <w:rsid w:val="00F64A34"/>
    <w:rsid w:val="00F66C39"/>
    <w:rsid w:val="00F70B89"/>
    <w:rsid w:val="00F7156E"/>
    <w:rsid w:val="00F72A9F"/>
    <w:rsid w:val="00F749F0"/>
    <w:rsid w:val="00F827CD"/>
    <w:rsid w:val="00F8400C"/>
    <w:rsid w:val="00F907D0"/>
    <w:rsid w:val="00F93926"/>
    <w:rsid w:val="00F97586"/>
    <w:rsid w:val="00FA2BAA"/>
    <w:rsid w:val="00FA3033"/>
    <w:rsid w:val="00FA3855"/>
    <w:rsid w:val="00FA5CB8"/>
    <w:rsid w:val="00FB6273"/>
    <w:rsid w:val="00FC105C"/>
    <w:rsid w:val="00FC2796"/>
    <w:rsid w:val="00FC788D"/>
    <w:rsid w:val="00FD0E9C"/>
    <w:rsid w:val="00FD13A0"/>
    <w:rsid w:val="00FD31A4"/>
    <w:rsid w:val="00FD32F8"/>
    <w:rsid w:val="00FD7006"/>
    <w:rsid w:val="00FE7ABC"/>
    <w:rsid w:val="00FE7B61"/>
    <w:rsid w:val="00FF12F8"/>
    <w:rsid w:val="00FF64E8"/>
    <w:rsid w:val="3F7F715C"/>
    <w:rsid w:val="77F672FE"/>
    <w:rsid w:val="7AFB56F2"/>
    <w:rsid w:val="BCAB1E4B"/>
    <w:rsid w:val="F6FD38FE"/>
    <w:rsid w:val="F7FBAAF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right="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6"/>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7"/>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Body Text Indent"/>
    <w:basedOn w:val="1"/>
    <w:link w:val="38"/>
    <w:semiHidden/>
    <w:unhideWhenUsed/>
    <w:qFormat/>
    <w:uiPriority w:val="99"/>
    <w:pPr>
      <w:spacing w:after="120"/>
      <w:ind w:left="420" w:leftChars="200"/>
    </w:pPr>
  </w:style>
  <w:style w:type="paragraph" w:styleId="7">
    <w:name w:val="toc 3"/>
    <w:basedOn w:val="1"/>
    <w:next w:val="1"/>
    <w:semiHidden/>
    <w:unhideWhenUsed/>
    <w:qFormat/>
    <w:uiPriority w:val="39"/>
    <w:pPr>
      <w:widowControl/>
      <w:spacing w:after="100" w:line="276" w:lineRule="auto"/>
      <w:ind w:left="440"/>
      <w:jc w:val="left"/>
    </w:pPr>
    <w:rPr>
      <w:rFonts w:asciiTheme="minorHAnsi" w:hAnsiTheme="minorHAnsi" w:eastAsiaTheme="minorEastAsia" w:cstheme="minorBidi"/>
      <w:kern w:val="0"/>
      <w:sz w:val="22"/>
      <w:szCs w:val="22"/>
    </w:rPr>
  </w:style>
  <w:style w:type="paragraph" w:styleId="8">
    <w:name w:val="Body Text Indent 2"/>
    <w:basedOn w:val="1"/>
    <w:link w:val="39"/>
    <w:semiHidden/>
    <w:unhideWhenUsed/>
    <w:qFormat/>
    <w:uiPriority w:val="99"/>
    <w:pPr>
      <w:spacing w:after="120" w:line="480" w:lineRule="auto"/>
      <w:ind w:left="420" w:leftChars="200"/>
    </w:pPr>
  </w:style>
  <w:style w:type="paragraph" w:styleId="9">
    <w:name w:val="Balloon Text"/>
    <w:basedOn w:val="1"/>
    <w:link w:val="32"/>
    <w:semiHidden/>
    <w:unhideWhenUsed/>
    <w:qFormat/>
    <w:uiPriority w:val="99"/>
    <w:rPr>
      <w:sz w:val="18"/>
      <w:szCs w:val="18"/>
    </w:rPr>
  </w:style>
  <w:style w:type="paragraph" w:styleId="10">
    <w:name w:val="footer"/>
    <w:basedOn w:val="1"/>
    <w:link w:val="24"/>
    <w:qFormat/>
    <w:uiPriority w:val="99"/>
    <w:pPr>
      <w:tabs>
        <w:tab w:val="center" w:pos="4153"/>
        <w:tab w:val="right" w:pos="8306"/>
      </w:tabs>
      <w:snapToGrid w:val="0"/>
      <w:jc w:val="left"/>
    </w:pPr>
    <w:rPr>
      <w:sz w:val="18"/>
      <w:szCs w:val="18"/>
    </w:rPr>
  </w:style>
  <w:style w:type="paragraph" w:styleId="11">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paragraph" w:styleId="13">
    <w:name w:val="Subtitle"/>
    <w:basedOn w:val="1"/>
    <w:next w:val="1"/>
    <w:link w:val="40"/>
    <w:qFormat/>
    <w:uiPriority w:val="11"/>
    <w:pPr>
      <w:spacing w:before="240" w:after="60" w:line="312" w:lineRule="auto"/>
      <w:jc w:val="center"/>
      <w:outlineLvl w:val="1"/>
    </w:pPr>
    <w:rPr>
      <w:rFonts w:asciiTheme="majorHAnsi" w:hAnsiTheme="majorHAnsi" w:cstheme="majorBidi"/>
      <w:b/>
      <w:bCs/>
      <w:kern w:val="28"/>
      <w:sz w:val="32"/>
      <w:szCs w:val="32"/>
    </w:rPr>
  </w:style>
  <w:style w:type="paragraph" w:styleId="14">
    <w:name w:val="toc 2"/>
    <w:basedOn w:val="1"/>
    <w:next w:val="1"/>
    <w:qFormat/>
    <w:uiPriority w:val="39"/>
    <w:pPr>
      <w:ind w:left="420" w:leftChars="200"/>
    </w:pPr>
  </w:style>
  <w:style w:type="paragraph" w:styleId="15">
    <w:name w:val="Body Text 2"/>
    <w:basedOn w:val="1"/>
    <w:link w:val="25"/>
    <w:qFormat/>
    <w:uiPriority w:val="0"/>
    <w:pPr>
      <w:spacing w:after="120" w:line="480" w:lineRule="auto"/>
    </w:pPr>
  </w:style>
  <w:style w:type="paragraph" w:styleId="16">
    <w:name w:val="Normal (Web)"/>
    <w:basedOn w:val="1"/>
    <w:qFormat/>
    <w:uiPriority w:val="0"/>
    <w:pPr>
      <w:widowControl/>
      <w:spacing w:before="100" w:beforeAutospacing="1" w:after="100" w:afterAutospacing="1"/>
      <w:jc w:val="left"/>
    </w:pPr>
    <w:rPr>
      <w:rFonts w:ascii="宋体" w:hAnsi="宋体"/>
      <w:kern w:val="0"/>
      <w:sz w:val="24"/>
    </w:rPr>
  </w:style>
  <w:style w:type="paragraph" w:styleId="17">
    <w:name w:val="Title"/>
    <w:basedOn w:val="1"/>
    <w:next w:val="1"/>
    <w:link w:val="33"/>
    <w:qFormat/>
    <w:uiPriority w:val="10"/>
    <w:pPr>
      <w:spacing w:before="240" w:after="60"/>
      <w:jc w:val="center"/>
      <w:outlineLvl w:val="0"/>
    </w:pPr>
    <w:rPr>
      <w:rFonts w:asciiTheme="majorHAnsi" w:hAnsiTheme="majorHAnsi" w:cstheme="majorBidi"/>
      <w:b/>
      <w:bCs/>
      <w:sz w:val="32"/>
      <w:szCs w:val="32"/>
    </w:rPr>
  </w:style>
  <w:style w:type="table" w:styleId="19">
    <w:name w:val="Table Grid"/>
    <w:basedOn w:val="18"/>
    <w:qFormat/>
    <w:uiPriority w:val="39"/>
    <w:pPr>
      <w:ind w:right="0"/>
      <w:jc w:val="left"/>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basedOn w:val="20"/>
    <w:qFormat/>
    <w:uiPriority w:val="0"/>
  </w:style>
  <w:style w:type="character" w:styleId="22">
    <w:name w:val="Hyperlink"/>
    <w:qFormat/>
    <w:uiPriority w:val="99"/>
    <w:rPr>
      <w:color w:val="0000FF"/>
      <w:u w:val="single"/>
    </w:rPr>
  </w:style>
  <w:style w:type="character" w:customStyle="1" w:styleId="23">
    <w:name w:val="页眉 Char"/>
    <w:basedOn w:val="20"/>
    <w:link w:val="11"/>
    <w:qFormat/>
    <w:uiPriority w:val="0"/>
    <w:rPr>
      <w:rFonts w:ascii="Times New Roman" w:hAnsi="Times New Roman" w:eastAsia="宋体" w:cs="Times New Roman"/>
      <w:sz w:val="18"/>
      <w:szCs w:val="18"/>
    </w:rPr>
  </w:style>
  <w:style w:type="character" w:customStyle="1" w:styleId="24">
    <w:name w:val="页脚 Char"/>
    <w:basedOn w:val="20"/>
    <w:link w:val="10"/>
    <w:qFormat/>
    <w:uiPriority w:val="99"/>
    <w:rPr>
      <w:rFonts w:ascii="Times New Roman" w:hAnsi="Times New Roman" w:eastAsia="宋体" w:cs="Times New Roman"/>
      <w:sz w:val="18"/>
      <w:szCs w:val="18"/>
    </w:rPr>
  </w:style>
  <w:style w:type="character" w:customStyle="1" w:styleId="25">
    <w:name w:val="正文文本 2 Char"/>
    <w:basedOn w:val="20"/>
    <w:link w:val="15"/>
    <w:qFormat/>
    <w:uiPriority w:val="0"/>
    <w:rPr>
      <w:rFonts w:ascii="Times New Roman" w:hAnsi="Times New Roman" w:eastAsia="宋体" w:cs="Times New Roman"/>
      <w:szCs w:val="24"/>
    </w:rPr>
  </w:style>
  <w:style w:type="character" w:customStyle="1" w:styleId="26">
    <w:name w:val="标题 1 Char"/>
    <w:basedOn w:val="20"/>
    <w:link w:val="2"/>
    <w:qFormat/>
    <w:uiPriority w:val="9"/>
    <w:rPr>
      <w:rFonts w:ascii="Times New Roman" w:hAnsi="Times New Roman" w:eastAsia="宋体" w:cs="Times New Roman"/>
      <w:b/>
      <w:bCs/>
      <w:kern w:val="44"/>
      <w:sz w:val="44"/>
      <w:szCs w:val="44"/>
    </w:rPr>
  </w:style>
  <w:style w:type="paragraph" w:customStyle="1" w:styleId="27">
    <w:name w:val="TOC Heading"/>
    <w:basedOn w:val="2"/>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8">
    <w:name w:val="章"/>
    <w:basedOn w:val="15"/>
    <w:link w:val="29"/>
    <w:qFormat/>
    <w:uiPriority w:val="0"/>
    <w:pPr>
      <w:spacing w:after="0" w:line="240" w:lineRule="auto"/>
      <w:jc w:val="center"/>
      <w:outlineLvl w:val="0"/>
    </w:pPr>
    <w:rPr>
      <w:rFonts w:ascii="宋体" w:hAnsi="宋体"/>
      <w:b/>
      <w:color w:val="000000"/>
      <w:sz w:val="30"/>
      <w:szCs w:val="30"/>
    </w:rPr>
  </w:style>
  <w:style w:type="character" w:customStyle="1" w:styleId="29">
    <w:name w:val="章 Char"/>
    <w:basedOn w:val="20"/>
    <w:link w:val="28"/>
    <w:qFormat/>
    <w:uiPriority w:val="0"/>
    <w:rPr>
      <w:rFonts w:ascii="宋体" w:hAnsi="宋体" w:eastAsia="宋体" w:cs="Times New Roman"/>
      <w:b/>
      <w:color w:val="000000"/>
      <w:sz w:val="30"/>
      <w:szCs w:val="30"/>
    </w:rPr>
  </w:style>
  <w:style w:type="paragraph" w:customStyle="1" w:styleId="30">
    <w:name w:val="节"/>
    <w:basedOn w:val="1"/>
    <w:link w:val="31"/>
    <w:qFormat/>
    <w:uiPriority w:val="0"/>
    <w:pPr>
      <w:ind w:firstLine="200" w:firstLineChars="200"/>
      <w:outlineLvl w:val="1"/>
    </w:pPr>
    <w:rPr>
      <w:rFonts w:ascii="宋体" w:hAnsi="宋体"/>
      <w:b/>
      <w:color w:val="000000"/>
      <w:sz w:val="28"/>
      <w:szCs w:val="28"/>
    </w:rPr>
  </w:style>
  <w:style w:type="character" w:customStyle="1" w:styleId="31">
    <w:name w:val="节 Char"/>
    <w:basedOn w:val="20"/>
    <w:link w:val="30"/>
    <w:qFormat/>
    <w:uiPriority w:val="0"/>
    <w:rPr>
      <w:rFonts w:ascii="宋体" w:hAnsi="宋体" w:eastAsia="宋体" w:cs="Times New Roman"/>
      <w:b/>
      <w:color w:val="000000"/>
      <w:sz w:val="28"/>
      <w:szCs w:val="28"/>
    </w:rPr>
  </w:style>
  <w:style w:type="character" w:customStyle="1" w:styleId="32">
    <w:name w:val="批注框文本 Char"/>
    <w:basedOn w:val="20"/>
    <w:link w:val="9"/>
    <w:semiHidden/>
    <w:qFormat/>
    <w:uiPriority w:val="99"/>
    <w:rPr>
      <w:rFonts w:ascii="Times New Roman" w:hAnsi="Times New Roman" w:eastAsia="宋体" w:cs="Times New Roman"/>
      <w:sz w:val="18"/>
      <w:szCs w:val="18"/>
    </w:rPr>
  </w:style>
  <w:style w:type="character" w:customStyle="1" w:styleId="33">
    <w:name w:val="标题 Char"/>
    <w:basedOn w:val="20"/>
    <w:link w:val="17"/>
    <w:qFormat/>
    <w:uiPriority w:val="10"/>
    <w:rPr>
      <w:rFonts w:eastAsia="宋体" w:asciiTheme="majorHAnsi" w:hAnsiTheme="majorHAnsi" w:cstheme="majorBidi"/>
      <w:b/>
      <w:bCs/>
      <w:sz w:val="32"/>
      <w:szCs w:val="32"/>
    </w:rPr>
  </w:style>
  <w:style w:type="paragraph" w:styleId="34">
    <w:name w:val="List Paragraph"/>
    <w:basedOn w:val="1"/>
    <w:qFormat/>
    <w:uiPriority w:val="34"/>
    <w:pPr>
      <w:ind w:firstLine="420" w:firstLineChars="200"/>
    </w:pPr>
    <w:rPr>
      <w:rFonts w:asciiTheme="minorHAnsi" w:hAnsiTheme="minorHAnsi" w:eastAsiaTheme="minorEastAsia" w:cstheme="minorBidi"/>
      <w:szCs w:val="22"/>
    </w:rPr>
  </w:style>
  <w:style w:type="character" w:customStyle="1" w:styleId="35">
    <w:name w:val="标题 2 Char"/>
    <w:basedOn w:val="20"/>
    <w:link w:val="3"/>
    <w:qFormat/>
    <w:uiPriority w:val="9"/>
    <w:rPr>
      <w:rFonts w:asciiTheme="majorHAnsi" w:hAnsiTheme="majorHAnsi" w:eastAsiaTheme="majorEastAsia" w:cstheme="majorBidi"/>
      <w:b/>
      <w:bCs/>
      <w:sz w:val="32"/>
      <w:szCs w:val="32"/>
    </w:rPr>
  </w:style>
  <w:style w:type="character" w:customStyle="1" w:styleId="36">
    <w:name w:val="标题 3 Char"/>
    <w:basedOn w:val="20"/>
    <w:link w:val="4"/>
    <w:qFormat/>
    <w:uiPriority w:val="9"/>
    <w:rPr>
      <w:rFonts w:ascii="Times New Roman" w:hAnsi="Times New Roman" w:eastAsia="宋体" w:cs="Times New Roman"/>
      <w:b/>
      <w:bCs/>
      <w:sz w:val="32"/>
      <w:szCs w:val="32"/>
    </w:rPr>
  </w:style>
  <w:style w:type="character" w:customStyle="1" w:styleId="37">
    <w:name w:val="标题 4 Char"/>
    <w:basedOn w:val="20"/>
    <w:link w:val="5"/>
    <w:qFormat/>
    <w:uiPriority w:val="9"/>
    <w:rPr>
      <w:rFonts w:asciiTheme="majorHAnsi" w:hAnsiTheme="majorHAnsi" w:eastAsiaTheme="majorEastAsia" w:cstheme="majorBidi"/>
      <w:b/>
      <w:bCs/>
      <w:sz w:val="28"/>
      <w:szCs w:val="28"/>
    </w:rPr>
  </w:style>
  <w:style w:type="character" w:customStyle="1" w:styleId="38">
    <w:name w:val="正文文本缩进 Char"/>
    <w:basedOn w:val="20"/>
    <w:link w:val="6"/>
    <w:semiHidden/>
    <w:qFormat/>
    <w:uiPriority w:val="99"/>
    <w:rPr>
      <w:rFonts w:ascii="Times New Roman" w:hAnsi="Times New Roman" w:eastAsia="宋体" w:cs="Times New Roman"/>
      <w:szCs w:val="24"/>
    </w:rPr>
  </w:style>
  <w:style w:type="character" w:customStyle="1" w:styleId="39">
    <w:name w:val="正文文本缩进 2 Char"/>
    <w:basedOn w:val="20"/>
    <w:link w:val="8"/>
    <w:semiHidden/>
    <w:qFormat/>
    <w:uiPriority w:val="99"/>
    <w:rPr>
      <w:rFonts w:ascii="Times New Roman" w:hAnsi="Times New Roman" w:eastAsia="宋体" w:cs="Times New Roman"/>
      <w:szCs w:val="24"/>
    </w:rPr>
  </w:style>
  <w:style w:type="character" w:customStyle="1" w:styleId="40">
    <w:name w:val="副标题 Char"/>
    <w:basedOn w:val="20"/>
    <w:link w:val="13"/>
    <w:qFormat/>
    <w:uiPriority w:val="11"/>
    <w:rPr>
      <w:rFonts w:eastAsia="宋体" w:asciiTheme="majorHAnsi" w:hAnsiTheme="majorHAnsi" w:cstheme="majorBidi"/>
      <w:b/>
      <w:bCs/>
      <w:kern w:val="28"/>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431</Words>
  <Characters>2459</Characters>
  <Lines>20</Lines>
  <Paragraphs>5</Paragraphs>
  <TotalTime>6</TotalTime>
  <ScaleCrop>false</ScaleCrop>
  <LinksUpToDate>false</LinksUpToDate>
  <CharactersWithSpaces>2885</CharactersWithSpaces>
  <Application>WPS Office_11.8.2.10337_F1E327BC-269C-435d-A152-05C5408002CA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2019-07-12T01:03:00Z</dcterms:created>
  <dc:creator>CN=彭媛媛/OU=发行人业务部/OU=深圳分公司/O=ChinaClear</dc:creator>
  <cp:lastModifiedBy>jzhu</cp:lastModifiedBy>
  <cp:lastPrinted>2023-12-28T02:35:00Z</cp:lastPrinted>
  <dcterms:modified xsi:type="dcterms:W3CDTF">2023-12-27T11:12:39Z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ies>
</file>