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60" w:lineRule="auto"/>
        <w:jc w:val="center"/>
        <w:rPr>
          <w:rFonts w:hint="eastAsia" w:ascii="仿宋_GB2312" w:hAnsi="仿宋_GB2312" w:eastAsia="仿宋_GB2312" w:cs="仿宋_GB2312"/>
          <w:b/>
          <w:bCs/>
          <w:color w:val="000000"/>
          <w:sz w:val="44"/>
          <w:szCs w:val="28"/>
        </w:rPr>
      </w:pPr>
      <w:r>
        <w:rPr>
          <w:rFonts w:hint="eastAsia" w:ascii="仿宋_GB2312" w:hAnsi="仿宋_GB2312" w:eastAsia="仿宋_GB2312" w:cs="仿宋_GB2312"/>
          <w:b/>
          <w:bCs/>
          <w:color w:val="000000"/>
          <w:sz w:val="44"/>
          <w:szCs w:val="28"/>
        </w:rPr>
        <w:t>中国结算</w:t>
      </w:r>
      <w:r>
        <w:rPr>
          <w:rFonts w:hint="eastAsia" w:ascii="仿宋_GB2312" w:hAnsi="仿宋_GB2312" w:eastAsia="仿宋_GB2312" w:cs="仿宋_GB2312"/>
          <w:b/>
          <w:bCs/>
          <w:color w:val="000000"/>
          <w:sz w:val="44"/>
          <w:szCs w:val="28"/>
          <w:lang w:eastAsia="zh-CN"/>
        </w:rPr>
        <w:t>深圳</w:t>
      </w:r>
      <w:r>
        <w:rPr>
          <w:rFonts w:hint="eastAsia" w:ascii="仿宋_GB2312" w:hAnsi="仿宋_GB2312" w:eastAsia="仿宋_GB2312" w:cs="仿宋_GB2312"/>
          <w:b/>
          <w:bCs/>
          <w:color w:val="000000"/>
          <w:sz w:val="44"/>
          <w:szCs w:val="28"/>
        </w:rPr>
        <w:t>分公司</w:t>
      </w:r>
      <w:r>
        <w:rPr>
          <w:rFonts w:hint="eastAsia" w:ascii="仿宋_GB2312" w:hAnsi="仿宋_GB2312" w:eastAsia="仿宋_GB2312" w:cs="仿宋_GB2312"/>
          <w:b/>
          <w:bCs/>
          <w:color w:val="000000"/>
          <w:sz w:val="44"/>
          <w:szCs w:val="28"/>
          <w:lang w:eastAsia="zh-CN"/>
        </w:rPr>
        <w:t>互联互通存托凭证</w:t>
      </w:r>
      <w:r>
        <w:rPr>
          <w:rFonts w:hint="eastAsia" w:ascii="仿宋_GB2312" w:hAnsi="仿宋_GB2312" w:eastAsia="仿宋_GB2312" w:cs="仿宋_GB2312"/>
          <w:b/>
          <w:bCs/>
          <w:color w:val="000000"/>
          <w:sz w:val="44"/>
          <w:szCs w:val="28"/>
        </w:rPr>
        <w:t>业务申请表格</w:t>
      </w:r>
    </w:p>
    <w:p>
      <w:pPr>
        <w:spacing w:beforeLines="0" w:afterLines="0" w:line="360" w:lineRule="auto"/>
        <w:jc w:val="center"/>
        <w:rPr>
          <w:rFonts w:hint="default" w:ascii="FangSong_GB2312" w:hAnsi="FangSong_GB2312" w:eastAsia="FangSong_GB2312"/>
          <w:color w:val="000000"/>
          <w:sz w:val="40"/>
          <w:szCs w:val="24"/>
        </w:rPr>
      </w:pPr>
    </w:p>
    <w:sdt>
      <w:sdtPr>
        <w:rPr>
          <w:rFonts w:hint="eastAsia" w:ascii="仿宋_GB2312" w:hAnsi="仿宋_GB2312" w:eastAsia="仿宋_GB2312" w:cs="仿宋_GB2312"/>
          <w:b/>
          <w:bCs/>
          <w:kern w:val="2"/>
          <w:sz w:val="32"/>
          <w:szCs w:val="32"/>
        </w:rPr>
        <w:id w:val="147464197"/>
        <w15:color w:val="DBDBDB"/>
        <w:docPartObj>
          <w:docPartGallery w:val="Table of Contents"/>
          <w:docPartUnique/>
        </w:docPartObj>
      </w:sdtPr>
      <w:sdtEndPr>
        <w:rPr>
          <w:rFonts w:hint="default" w:ascii="FangSong_GB2312" w:hAnsi="FangSong_GB2312" w:eastAsia="FangSong_GB2312" w:cs="仿宋_GB2312"/>
          <w:b/>
          <w:bCs/>
          <w:color w:val="000000"/>
          <w:kern w:val="2"/>
          <w:sz w:val="21"/>
          <w:szCs w:val="24"/>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目录</w:t>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color w:val="000000"/>
              <w:sz w:val="30"/>
              <w:szCs w:val="30"/>
            </w:rPr>
            <w:instrText xml:space="preserve">TOC \o "1-1" \h \u </w:instrText>
          </w:r>
          <w:r>
            <w:rPr>
              <w:rFonts w:hint="eastAsia" w:ascii="仿宋_GB2312" w:hAnsi="仿宋_GB2312" w:eastAsia="仿宋_GB2312" w:cs="仿宋_GB2312"/>
              <w:color w:val="000000"/>
              <w:sz w:val="30"/>
              <w:szCs w:val="30"/>
            </w:rPr>
            <w:fldChar w:fldCharType="separate"/>
          </w: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_Toc996060788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承诺函（适用于存托业务专用证券账户）</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_Toc996060788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_Toc398323701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承诺函（适用于跨境转换专用证券账户）</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_Toc398323701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_Toc1101449571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全球存托凭证结算路径申请表（适用QFII托管银行结算）</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_Toc1101449571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4</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_Toc1775025443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互联互通中国存托凭证现金权益发放业务申请表</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_Toc1775025443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_Toc904643959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互联互通中国存托凭证现金权益发放</w:t>
          </w:r>
          <w:r>
            <w:rPr>
              <w:rFonts w:hint="eastAsia" w:ascii="仿宋_GB2312" w:hAnsi="仿宋_GB2312" w:eastAsia="仿宋_GB2312" w:cs="仿宋_GB2312"/>
              <w:sz w:val="30"/>
              <w:szCs w:val="30"/>
              <w:lang w:eastAsia="zh-CN"/>
            </w:rPr>
            <w:t>信息通知书</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_Toc904643959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pStyle w:val="6"/>
            <w:tabs>
              <w:tab w:val="right" w:leader="dot" w:pos="8504"/>
            </w:tabs>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sz w:val="30"/>
              <w:szCs w:val="30"/>
            </w:rPr>
            <w:instrText xml:space="preserve"> HYPERLINK \l _Toc505904223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互联互通中国存托凭证送股登记申请表</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_Toc505904223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color w:val="000000"/>
              <w:sz w:val="30"/>
              <w:szCs w:val="30"/>
            </w:rPr>
            <w:fldChar w:fldCharType="end"/>
          </w:r>
        </w:p>
        <w:p>
          <w:pPr>
            <w:spacing w:line="360" w:lineRule="auto"/>
            <w:jc w:val="center"/>
            <w:rPr>
              <w:rFonts w:hint="default" w:ascii="FangSong_GB2312" w:hAnsi="FangSong_GB2312" w:eastAsia="FangSong_GB2312"/>
              <w:color w:val="000000"/>
              <w:sz w:val="40"/>
              <w:szCs w:val="24"/>
            </w:rPr>
          </w:pPr>
          <w:r>
            <w:rPr>
              <w:rFonts w:hint="eastAsia" w:ascii="仿宋_GB2312" w:hAnsi="仿宋_GB2312" w:eastAsia="仿宋_GB2312" w:cs="仿宋_GB2312"/>
              <w:color w:val="000000"/>
              <w:sz w:val="30"/>
              <w:szCs w:val="30"/>
            </w:rPr>
            <w:fldChar w:fldCharType="end"/>
          </w:r>
        </w:p>
      </w:sdtContent>
    </w:sdt>
    <w:p>
      <w:pPr>
        <w:rPr>
          <w:rFonts w:hint="eastAsia"/>
          <w:b/>
          <w:bCs/>
          <w:sz w:val="32"/>
          <w:szCs w:val="32"/>
        </w:rPr>
      </w:pPr>
      <w:r>
        <w:rPr>
          <w:rFonts w:hint="eastAsia"/>
          <w:b/>
          <w:bCs/>
          <w:sz w:val="32"/>
          <w:szCs w:val="32"/>
        </w:rPr>
        <w:br w:type="page"/>
      </w:r>
      <w:bookmarkStart w:id="6" w:name="_GoBack"/>
      <w:bookmarkEnd w:id="6"/>
    </w:p>
    <w:p>
      <w:pPr>
        <w:pStyle w:val="2"/>
        <w:bidi w:val="0"/>
        <w:jc w:val="center"/>
        <w:rPr>
          <w:rFonts w:hint="eastAsia" w:ascii="黑体" w:hAnsi="黑体" w:eastAsia="黑体" w:cs="黑体"/>
          <w:sz w:val="32"/>
          <w:szCs w:val="32"/>
        </w:rPr>
      </w:pPr>
      <w:bookmarkStart w:id="0" w:name="_Toc996060788"/>
      <w:r>
        <w:rPr>
          <w:rFonts w:hint="eastAsia" w:ascii="黑体" w:hAnsi="黑体" w:eastAsia="黑体" w:cs="黑体"/>
          <w:sz w:val="32"/>
          <w:szCs w:val="32"/>
        </w:rPr>
        <w:t>承诺函（适用于存托业务专用证券账户）</w:t>
      </w:r>
      <w:bookmarkEnd w:id="0"/>
    </w:p>
    <w:p>
      <w:pPr>
        <w:pStyle w:val="10"/>
        <w:rPr>
          <w:rFonts w:hint="eastAsia" w:cstheme="minorBidi"/>
          <w:color w:val="auto"/>
          <w:sz w:val="28"/>
          <w:szCs w:val="28"/>
        </w:rPr>
      </w:pPr>
    </w:p>
    <w:p>
      <w:pPr>
        <w:pStyle w:val="10"/>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中国证券登记结算有限责任公司</w:t>
      </w:r>
      <w:r>
        <w:rPr>
          <w:rFonts w:hint="eastAsia" w:ascii="仿宋_GB2312" w:hAnsi="仿宋_GB2312" w:eastAsia="仿宋_GB2312" w:cs="仿宋_GB2312"/>
          <w:sz w:val="30"/>
          <w:szCs w:val="30"/>
          <w:lang w:eastAsia="zh-CN"/>
        </w:rPr>
        <w:t>深圳</w:t>
      </w:r>
      <w:r>
        <w:rPr>
          <w:rFonts w:hint="eastAsia" w:ascii="仿宋_GB2312" w:hAnsi="仿宋_GB2312" w:eastAsia="仿宋_GB2312" w:cs="仿宋_GB2312"/>
          <w:sz w:val="30"/>
          <w:szCs w:val="30"/>
        </w:rPr>
        <w:t xml:space="preserve">分公司： </w:t>
      </w:r>
    </w:p>
    <w:p>
      <w:pPr>
        <w:pStyle w:val="10"/>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本申请人承诺以下事项： </w:t>
      </w:r>
    </w:p>
    <w:p>
      <w:pPr>
        <w:pStyle w:val="10"/>
        <w:numPr>
          <w:ilvl w:val="0"/>
          <w:numId w:val="2"/>
        </w:numPr>
        <w:spacing w:line="360"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申请人出于全球存托凭证业务需要，在贵公司开立的证券账户仅用于因生成、兑回全球存托凭证引起的中国市场基础股票非交易过户及符合存托协议约定的中国市场基础股票卖出等业务，不可用于与存托凭证业务无关的证券交易。</w:t>
      </w:r>
    </w:p>
    <w:p>
      <w:pPr>
        <w:pStyle w:val="10"/>
        <w:numPr>
          <w:ilvl w:val="0"/>
          <w:numId w:val="2"/>
        </w:numPr>
        <w:spacing w:line="360"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本申请人授权</w:t>
      </w:r>
      <w:r>
        <w:rPr>
          <w:rFonts w:hint="eastAsia" w:ascii="仿宋_GB2312" w:hAnsi="仿宋_GB2312" w:eastAsia="仿宋_GB2312" w:cs="仿宋_GB2312"/>
          <w:color w:val="auto"/>
          <w:sz w:val="30"/>
          <w:szCs w:val="30"/>
          <w:highlight w:val="none"/>
        </w:rPr>
        <w:t>证券账户</w:t>
      </w:r>
      <w:r>
        <w:rPr>
          <w:rFonts w:hint="eastAsia" w:ascii="仿宋_GB2312" w:hAnsi="仿宋_GB2312" w:eastAsia="仿宋_GB2312" w:cs="仿宋_GB2312"/>
          <w:color w:val="auto"/>
          <w:sz w:val="30"/>
          <w:szCs w:val="30"/>
          <w:lang w:eastAsia="zh-CN"/>
        </w:rPr>
        <w:t>委托结算</w:t>
      </w:r>
      <w:r>
        <w:rPr>
          <w:rFonts w:hint="eastAsia" w:ascii="仿宋_GB2312" w:hAnsi="仿宋_GB2312" w:eastAsia="仿宋_GB2312" w:cs="仿宋_GB2312"/>
          <w:color w:val="auto"/>
          <w:sz w:val="30"/>
          <w:szCs w:val="30"/>
        </w:rPr>
        <w:t>证券公司</w:t>
      </w:r>
      <w:r>
        <w:rPr>
          <w:rFonts w:hint="eastAsia" w:ascii="仿宋_GB2312" w:hAnsi="仿宋_GB2312" w:eastAsia="仿宋_GB2312" w:cs="仿宋_GB2312"/>
          <w:color w:val="auto"/>
          <w:sz w:val="30"/>
          <w:szCs w:val="30"/>
          <w:lang w:eastAsia="zh-CN"/>
        </w:rPr>
        <w:t>或</w:t>
      </w:r>
      <w:r>
        <w:rPr>
          <w:rFonts w:hint="eastAsia" w:ascii="仿宋_GB2312" w:hAnsi="仿宋_GB2312" w:eastAsia="仿宋_GB2312" w:cs="仿宋_GB2312"/>
          <w:color w:val="auto"/>
          <w:sz w:val="30"/>
          <w:szCs w:val="30"/>
        </w:rPr>
        <w:t>托管银行通过</w:t>
      </w:r>
      <w:r>
        <w:rPr>
          <w:rFonts w:hint="eastAsia" w:ascii="仿宋_GB2312" w:hAnsi="仿宋_GB2312" w:eastAsia="仿宋_GB2312" w:cs="仿宋_GB2312"/>
          <w:color w:val="auto"/>
          <w:sz w:val="30"/>
          <w:szCs w:val="30"/>
          <w:lang w:val="en-US"/>
        </w:rPr>
        <w:t>D-COM</w:t>
      </w:r>
      <w:r>
        <w:rPr>
          <w:rFonts w:hint="eastAsia" w:ascii="仿宋_GB2312" w:hAnsi="仿宋_GB2312" w:eastAsia="仿宋_GB2312" w:cs="仿宋_GB2312"/>
          <w:color w:val="auto"/>
          <w:sz w:val="30"/>
          <w:szCs w:val="30"/>
        </w:rPr>
        <w:t>系统向贵公司申报全球存托凭证对应的中国市场基础股票非交易过户指令。本申请人对</w:t>
      </w:r>
      <w:r>
        <w:rPr>
          <w:rFonts w:hint="eastAsia" w:ascii="仿宋_GB2312" w:hAnsi="仿宋_GB2312" w:eastAsia="仿宋_GB2312" w:cs="仿宋_GB2312"/>
          <w:color w:val="auto"/>
          <w:sz w:val="30"/>
          <w:szCs w:val="30"/>
          <w:highlight w:val="none"/>
        </w:rPr>
        <w:t>证券账户</w:t>
      </w:r>
      <w:r>
        <w:rPr>
          <w:rFonts w:hint="eastAsia" w:ascii="仿宋_GB2312" w:hAnsi="仿宋_GB2312" w:eastAsia="仿宋_GB2312" w:cs="仿宋_GB2312"/>
          <w:color w:val="auto"/>
          <w:sz w:val="30"/>
          <w:szCs w:val="30"/>
          <w:lang w:eastAsia="zh-CN"/>
        </w:rPr>
        <w:t>委托结算</w:t>
      </w:r>
      <w:r>
        <w:rPr>
          <w:rFonts w:hint="eastAsia" w:ascii="仿宋_GB2312" w:hAnsi="仿宋_GB2312" w:eastAsia="仿宋_GB2312" w:cs="仿宋_GB2312"/>
          <w:color w:val="auto"/>
          <w:sz w:val="30"/>
          <w:szCs w:val="30"/>
        </w:rPr>
        <w:t xml:space="preserve">证券公司或托管银行向贵公司申报的上述非交易过户指令予以认可，并承担由此引起的一切法律责任和后果。 </w:t>
      </w:r>
    </w:p>
    <w:p>
      <w:pPr>
        <w:pStyle w:val="10"/>
        <w:spacing w:line="360" w:lineRule="auto"/>
        <w:rPr>
          <w:rFonts w:hint="eastAsia" w:ascii="仿宋_GB2312" w:hAnsi="仿宋_GB2312" w:eastAsia="仿宋_GB2312" w:cs="仿宋_GB2312"/>
          <w:sz w:val="30"/>
          <w:szCs w:val="30"/>
        </w:rPr>
      </w:pPr>
    </w:p>
    <w:p>
      <w:pPr>
        <w:pStyle w:val="10"/>
        <w:spacing w:line="360" w:lineRule="auto"/>
        <w:rPr>
          <w:rFonts w:hint="eastAsia" w:ascii="仿宋_GB2312" w:hAnsi="仿宋_GB2312" w:eastAsia="仿宋_GB2312" w:cs="仿宋_GB2312"/>
          <w:sz w:val="30"/>
          <w:szCs w:val="30"/>
        </w:rPr>
      </w:pPr>
    </w:p>
    <w:p>
      <w:pPr>
        <w:pStyle w:val="10"/>
        <w:spacing w:line="360" w:lineRule="auto"/>
        <w:ind w:firstLine="5700" w:firstLineChars="19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签章/签字： </w:t>
      </w:r>
    </w:p>
    <w:p>
      <w:pPr>
        <w:pStyle w:val="10"/>
        <w:spacing w:line="360" w:lineRule="auto"/>
        <w:ind w:firstLine="5700" w:firstLineChars="19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日期：</w:t>
      </w:r>
    </w:p>
    <w:p>
      <w:pPr>
        <w:rPr>
          <w:rFonts w:cstheme="minorBidi"/>
          <w:color w:val="auto"/>
          <w:sz w:val="28"/>
          <w:szCs w:val="28"/>
        </w:rPr>
      </w:pPr>
      <w:r>
        <w:rPr>
          <w:rFonts w:cstheme="minorBidi"/>
          <w:color w:val="auto"/>
          <w:sz w:val="28"/>
          <w:szCs w:val="28"/>
        </w:rPr>
        <w:br w:type="page"/>
      </w:r>
    </w:p>
    <w:p>
      <w:pPr>
        <w:pStyle w:val="2"/>
        <w:bidi w:val="0"/>
        <w:jc w:val="center"/>
        <w:rPr>
          <w:rFonts w:hint="eastAsia" w:ascii="黑体" w:hAnsi="黑体" w:eastAsia="黑体" w:cs="黑体"/>
          <w:b/>
          <w:sz w:val="32"/>
          <w:szCs w:val="32"/>
        </w:rPr>
      </w:pPr>
      <w:bookmarkStart w:id="1" w:name="_Toc398323701"/>
      <w:r>
        <w:rPr>
          <w:rFonts w:hint="eastAsia" w:ascii="黑体" w:hAnsi="黑体" w:eastAsia="黑体" w:cs="黑体"/>
          <w:b/>
          <w:sz w:val="32"/>
          <w:szCs w:val="32"/>
        </w:rPr>
        <w:t>承诺函（适用于跨境转换专用证券账户）</w:t>
      </w:r>
      <w:bookmarkEnd w:id="1"/>
    </w:p>
    <w:p>
      <w:pPr>
        <w:pStyle w:val="10"/>
        <w:rPr>
          <w:rFonts w:cstheme="minorBidi"/>
          <w:color w:val="auto"/>
          <w:sz w:val="28"/>
          <w:szCs w:val="28"/>
        </w:rPr>
      </w:pPr>
    </w:p>
    <w:p>
      <w:pPr>
        <w:pStyle w:val="10"/>
        <w:spacing w:line="360" w:lineRule="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中国证券登记结算有限责任公司</w:t>
      </w:r>
      <w:r>
        <w:rPr>
          <w:rFonts w:hint="eastAsia" w:ascii="仿宋_GB2312" w:hAnsi="仿宋_GB2312" w:eastAsia="仿宋_GB2312" w:cs="仿宋_GB2312"/>
          <w:color w:val="auto"/>
          <w:sz w:val="30"/>
          <w:szCs w:val="30"/>
          <w:lang w:eastAsia="zh-CN"/>
        </w:rPr>
        <w:t>深圳</w:t>
      </w:r>
      <w:r>
        <w:rPr>
          <w:rFonts w:hint="eastAsia" w:ascii="仿宋_GB2312" w:hAnsi="仿宋_GB2312" w:eastAsia="仿宋_GB2312" w:cs="仿宋_GB2312"/>
          <w:color w:val="auto"/>
          <w:sz w:val="30"/>
          <w:szCs w:val="30"/>
        </w:rPr>
        <w:t xml:space="preserve">分公司： </w:t>
      </w:r>
    </w:p>
    <w:p>
      <w:pPr>
        <w:pStyle w:val="10"/>
        <w:spacing w:line="360"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本申请人承诺以下事项： </w:t>
      </w:r>
    </w:p>
    <w:p>
      <w:pPr>
        <w:pStyle w:val="10"/>
        <w:numPr>
          <w:ilvl w:val="0"/>
          <w:numId w:val="3"/>
        </w:numPr>
        <w:spacing w:line="360"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本申请人在贵公司开立的跨境转换专用证券账户仅用于在中国证监会规定的投资范围和资产净值额度上限内买卖中国市场基础股票或中国证监会规定的其他投资品种，以及因生成、兑回全球存托凭证引起的中国市场基础股票非交易过户。 </w:t>
      </w:r>
    </w:p>
    <w:p>
      <w:pPr>
        <w:pStyle w:val="10"/>
        <w:numPr>
          <w:ilvl w:val="0"/>
          <w:numId w:val="3"/>
        </w:numPr>
        <w:spacing w:line="360" w:lineRule="auto"/>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本申请人授权</w:t>
      </w:r>
      <w:r>
        <w:rPr>
          <w:rFonts w:hint="eastAsia" w:ascii="仿宋_GB2312" w:hAnsi="仿宋_GB2312" w:eastAsia="仿宋_GB2312" w:cs="仿宋_GB2312"/>
          <w:color w:val="auto"/>
          <w:sz w:val="30"/>
          <w:szCs w:val="30"/>
          <w:highlight w:val="none"/>
        </w:rPr>
        <w:t>证券账户</w:t>
      </w:r>
      <w:r>
        <w:rPr>
          <w:rFonts w:hint="eastAsia" w:ascii="仿宋_GB2312" w:hAnsi="仿宋_GB2312" w:eastAsia="仿宋_GB2312" w:cs="仿宋_GB2312"/>
          <w:color w:val="auto"/>
          <w:sz w:val="30"/>
          <w:szCs w:val="30"/>
          <w:lang w:eastAsia="zh-CN"/>
        </w:rPr>
        <w:t>委托结算</w:t>
      </w:r>
      <w:r>
        <w:rPr>
          <w:rFonts w:hint="eastAsia" w:ascii="仿宋_GB2312" w:hAnsi="仿宋_GB2312" w:eastAsia="仿宋_GB2312" w:cs="仿宋_GB2312"/>
          <w:color w:val="auto"/>
          <w:sz w:val="30"/>
          <w:szCs w:val="30"/>
        </w:rPr>
        <w:t>证券公司</w:t>
      </w:r>
      <w:r>
        <w:rPr>
          <w:rFonts w:hint="eastAsia" w:ascii="仿宋_GB2312" w:hAnsi="仿宋_GB2312" w:eastAsia="仿宋_GB2312" w:cs="仿宋_GB2312"/>
          <w:color w:val="auto"/>
          <w:sz w:val="30"/>
          <w:szCs w:val="30"/>
          <w:lang w:eastAsia="zh-CN"/>
        </w:rPr>
        <w:t>或</w:t>
      </w:r>
      <w:r>
        <w:rPr>
          <w:rFonts w:hint="eastAsia" w:ascii="仿宋_GB2312" w:hAnsi="仿宋_GB2312" w:eastAsia="仿宋_GB2312" w:cs="仿宋_GB2312"/>
          <w:color w:val="auto"/>
          <w:sz w:val="30"/>
          <w:szCs w:val="30"/>
        </w:rPr>
        <w:t>托管银行通过</w:t>
      </w:r>
      <w:r>
        <w:rPr>
          <w:rFonts w:hint="eastAsia" w:ascii="仿宋_GB2312" w:hAnsi="仿宋_GB2312" w:eastAsia="仿宋_GB2312" w:cs="仿宋_GB2312"/>
          <w:color w:val="auto"/>
          <w:sz w:val="30"/>
          <w:szCs w:val="30"/>
          <w:lang w:val="en-US"/>
        </w:rPr>
        <w:t>D-COM</w:t>
      </w:r>
      <w:r>
        <w:rPr>
          <w:rFonts w:hint="eastAsia" w:ascii="仿宋_GB2312" w:hAnsi="仿宋_GB2312" w:eastAsia="仿宋_GB2312" w:cs="仿宋_GB2312"/>
          <w:color w:val="auto"/>
          <w:sz w:val="30"/>
          <w:szCs w:val="30"/>
        </w:rPr>
        <w:t>系统向贵公司申报全球存托凭证对应的中国市场基础股票非交易过户指令。本申请人对</w:t>
      </w:r>
      <w:r>
        <w:rPr>
          <w:rFonts w:hint="eastAsia" w:ascii="仿宋_GB2312" w:hAnsi="仿宋_GB2312" w:eastAsia="仿宋_GB2312" w:cs="仿宋_GB2312"/>
          <w:color w:val="auto"/>
          <w:sz w:val="30"/>
          <w:szCs w:val="30"/>
          <w:highlight w:val="none"/>
        </w:rPr>
        <w:t>证券账户</w:t>
      </w:r>
      <w:r>
        <w:rPr>
          <w:rFonts w:hint="eastAsia" w:ascii="仿宋_GB2312" w:hAnsi="仿宋_GB2312" w:eastAsia="仿宋_GB2312" w:cs="仿宋_GB2312"/>
          <w:color w:val="auto"/>
          <w:sz w:val="30"/>
          <w:szCs w:val="30"/>
          <w:lang w:eastAsia="zh-CN"/>
        </w:rPr>
        <w:t>委托结算</w:t>
      </w:r>
      <w:r>
        <w:rPr>
          <w:rFonts w:hint="eastAsia" w:ascii="仿宋_GB2312" w:hAnsi="仿宋_GB2312" w:eastAsia="仿宋_GB2312" w:cs="仿宋_GB2312"/>
          <w:color w:val="auto"/>
          <w:sz w:val="30"/>
          <w:szCs w:val="30"/>
        </w:rPr>
        <w:t xml:space="preserve">证券公司或托管银行向贵公司申报的上述非交易过户指令予以认可，并承担由此引起的一切法律责任和后果。 </w:t>
      </w:r>
    </w:p>
    <w:p>
      <w:pPr>
        <w:pStyle w:val="10"/>
        <w:spacing w:line="360" w:lineRule="auto"/>
        <w:rPr>
          <w:rFonts w:hint="eastAsia" w:ascii="仿宋_GB2312" w:hAnsi="仿宋_GB2312" w:eastAsia="仿宋_GB2312" w:cs="仿宋_GB2312"/>
          <w:color w:val="auto"/>
          <w:sz w:val="30"/>
          <w:szCs w:val="30"/>
        </w:rPr>
      </w:pPr>
    </w:p>
    <w:p>
      <w:pPr>
        <w:pStyle w:val="10"/>
        <w:spacing w:line="360" w:lineRule="auto"/>
        <w:rPr>
          <w:rFonts w:hint="eastAsia" w:ascii="仿宋_GB2312" w:hAnsi="仿宋_GB2312" w:eastAsia="仿宋_GB2312" w:cs="仿宋_GB2312"/>
          <w:color w:val="auto"/>
          <w:sz w:val="30"/>
          <w:szCs w:val="30"/>
        </w:rPr>
      </w:pPr>
    </w:p>
    <w:p>
      <w:pPr>
        <w:pStyle w:val="10"/>
        <w:spacing w:line="360" w:lineRule="auto"/>
        <w:ind w:firstLine="5700" w:firstLineChars="19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签章/签字： </w:t>
      </w:r>
    </w:p>
    <w:p>
      <w:pPr>
        <w:pStyle w:val="10"/>
        <w:spacing w:line="360" w:lineRule="auto"/>
        <w:ind w:firstLine="5700" w:firstLineChars="19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日期：</w:t>
      </w:r>
    </w:p>
    <w:p>
      <w:pP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br w:type="page"/>
      </w:r>
    </w:p>
    <w:p>
      <w:pPr>
        <w:pStyle w:val="2"/>
        <w:bidi w:val="0"/>
        <w:jc w:val="center"/>
        <w:rPr>
          <w:rFonts w:hint="eastAsia" w:ascii="黑体" w:hAnsi="黑体" w:eastAsia="黑体" w:cs="黑体"/>
          <w:b/>
          <w:sz w:val="32"/>
          <w:szCs w:val="32"/>
        </w:rPr>
      </w:pPr>
      <w:bookmarkStart w:id="2" w:name="_Toc1101449571"/>
      <w:r>
        <w:rPr>
          <w:rFonts w:hint="default" w:ascii="黑体" w:hAnsi="黑体" w:eastAsia="黑体" w:cs="黑体"/>
          <w:b/>
          <w:sz w:val="32"/>
          <w:szCs w:val="32"/>
        </w:rPr>
        <w:t>全球存托凭证结算路径申请表（适用QFII托管银行结算）</w:t>
      </w:r>
      <w:bookmarkEnd w:id="2"/>
    </w:p>
    <w:p>
      <w:pPr>
        <w:wordWrap w:val="0"/>
        <w:jc w:val="right"/>
        <w:rPr>
          <w:highlight w:val="none"/>
        </w:rPr>
      </w:pPr>
      <w:r>
        <w:rPr>
          <w:rFonts w:hint="default" w:ascii="Times New Roman" w:hAnsi="Times New Roman"/>
          <w:szCs w:val="21"/>
          <w:highlight w:val="none"/>
        </w:rPr>
        <w:t>申请日期：</w:t>
      </w:r>
      <w:r>
        <w:rPr>
          <w:rFonts w:hint="default" w:ascii="Times New Roman" w:hAnsi="Times New Roman"/>
          <w:szCs w:val="21"/>
          <w:highlight w:val="none"/>
        </w:rPr>
        <w:tab/>
      </w:r>
      <w:r>
        <w:rPr>
          <w:rFonts w:hint="default" w:ascii="Times New Roman" w:hAnsi="Times New Roman"/>
          <w:szCs w:val="21"/>
          <w:highlight w:val="none"/>
        </w:rPr>
        <w:tab/>
      </w:r>
      <w:r>
        <w:rPr>
          <w:rFonts w:hint="default" w:ascii="Times New Roman" w:hAnsi="Times New Roman"/>
          <w:szCs w:val="21"/>
          <w:highlight w:val="none"/>
        </w:rPr>
        <w:t>年</w:t>
      </w:r>
      <w:r>
        <w:rPr>
          <w:rFonts w:ascii="Times New Roman" w:hAnsi="Times New Roman"/>
          <w:szCs w:val="21"/>
          <w:highlight w:val="none"/>
        </w:rPr>
        <w:t xml:space="preserve">  </w:t>
      </w:r>
      <w:r>
        <w:rPr>
          <w:rFonts w:hint="default" w:ascii="Times New Roman" w:hAnsi="Times New Roman"/>
          <w:szCs w:val="21"/>
          <w:highlight w:val="none"/>
        </w:rPr>
        <w:t>月</w:t>
      </w:r>
      <w:r>
        <w:rPr>
          <w:rFonts w:ascii="Times New Roman" w:hAnsi="Times New Roman"/>
          <w:szCs w:val="21"/>
          <w:highlight w:val="none"/>
        </w:rPr>
        <w:t xml:space="preserve"> </w:t>
      </w:r>
      <w:r>
        <w:rPr>
          <w:rFonts w:hint="default" w:ascii="Times New Roman" w:hAnsi="Times New Roman"/>
          <w:szCs w:val="21"/>
          <w:highlight w:val="none"/>
        </w:rPr>
        <w:tab/>
      </w:r>
      <w:r>
        <w:rPr>
          <w:rFonts w:hint="default" w:ascii="Times New Roman" w:hAnsi="Times New Roman"/>
          <w:szCs w:val="21"/>
          <w:highlight w:val="none"/>
        </w:rPr>
        <w:t>日</w:t>
      </w:r>
    </w:p>
    <w:tbl>
      <w:tblPr>
        <w:tblStyle w:val="8"/>
        <w:tblW w:w="89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53"/>
        <w:gridCol w:w="2597"/>
        <w:gridCol w:w="1726"/>
        <w:gridCol w:w="2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4"/>
            <w:shd w:val="clear" w:color="auto" w:fill="D9D9D9"/>
            <w:vAlign w:val="center"/>
          </w:tcPr>
          <w:p>
            <w:pPr>
              <w:jc w:val="center"/>
              <w:rPr>
                <w:highlight w:val="none"/>
              </w:rPr>
            </w:pPr>
            <w:r>
              <w:rPr>
                <w:rFonts w:hint="default" w:ascii="Times New Roman" w:hAnsi="Times New Roman"/>
                <w:b/>
                <w:sz w:val="24"/>
                <w:highlight w:val="none"/>
              </w:rPr>
              <w:t>联系信息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exact"/>
          <w:jc w:val="center"/>
        </w:trPr>
        <w:tc>
          <w:tcPr>
            <w:tcW w:w="1853" w:type="dxa"/>
            <w:vAlign w:val="center"/>
          </w:tcPr>
          <w:p>
            <w:pPr>
              <w:jc w:val="center"/>
              <w:rPr>
                <w:szCs w:val="21"/>
                <w:highlight w:val="none"/>
              </w:rPr>
            </w:pPr>
            <w:r>
              <w:rPr>
                <w:rFonts w:hint="eastAsia"/>
                <w:szCs w:val="21"/>
                <w:highlight w:val="none"/>
              </w:rPr>
              <w:t>QFII托管银行</w:t>
            </w:r>
          </w:p>
          <w:p>
            <w:pPr>
              <w:jc w:val="center"/>
              <w:rPr>
                <w:szCs w:val="21"/>
                <w:highlight w:val="none"/>
              </w:rPr>
            </w:pPr>
            <w:r>
              <w:rPr>
                <w:rFonts w:hint="eastAsia"/>
                <w:szCs w:val="21"/>
                <w:highlight w:val="none"/>
              </w:rPr>
              <w:t>名称</w:t>
            </w:r>
          </w:p>
        </w:tc>
        <w:tc>
          <w:tcPr>
            <w:tcW w:w="2597" w:type="dxa"/>
            <w:vAlign w:val="center"/>
          </w:tcPr>
          <w:p>
            <w:pPr>
              <w:jc w:val="center"/>
              <w:rPr>
                <w:b/>
                <w:sz w:val="28"/>
                <w:szCs w:val="28"/>
                <w:highlight w:val="none"/>
              </w:rPr>
            </w:pPr>
          </w:p>
        </w:tc>
        <w:tc>
          <w:tcPr>
            <w:tcW w:w="1726" w:type="dxa"/>
            <w:vAlign w:val="center"/>
          </w:tcPr>
          <w:p>
            <w:pPr>
              <w:jc w:val="center"/>
              <w:rPr>
                <w:szCs w:val="21"/>
                <w:highlight w:val="none"/>
              </w:rPr>
            </w:pPr>
            <w:r>
              <w:rPr>
                <w:rFonts w:hint="eastAsia"/>
                <w:szCs w:val="21"/>
                <w:highlight w:val="none"/>
              </w:rPr>
              <w:t>结算参与人编码</w:t>
            </w:r>
          </w:p>
        </w:tc>
        <w:tc>
          <w:tcPr>
            <w:tcW w:w="2725" w:type="dxa"/>
            <w:vAlign w:val="center"/>
          </w:tcPr>
          <w:p>
            <w:pPr>
              <w:jc w:val="center"/>
              <w:rPr>
                <w:b/>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853" w:type="dxa"/>
            <w:vAlign w:val="center"/>
          </w:tcPr>
          <w:p>
            <w:pPr>
              <w:jc w:val="center"/>
              <w:rPr>
                <w:szCs w:val="21"/>
                <w:highlight w:val="none"/>
              </w:rPr>
            </w:pPr>
            <w:r>
              <w:rPr>
                <w:rFonts w:hint="eastAsia"/>
                <w:szCs w:val="21"/>
                <w:highlight w:val="none"/>
              </w:rPr>
              <w:t>经办人</w:t>
            </w:r>
          </w:p>
        </w:tc>
        <w:tc>
          <w:tcPr>
            <w:tcW w:w="2597" w:type="dxa"/>
            <w:vAlign w:val="center"/>
          </w:tcPr>
          <w:p>
            <w:pPr>
              <w:jc w:val="center"/>
              <w:rPr>
                <w:b/>
                <w:sz w:val="28"/>
                <w:szCs w:val="28"/>
                <w:highlight w:val="none"/>
              </w:rPr>
            </w:pPr>
          </w:p>
        </w:tc>
        <w:tc>
          <w:tcPr>
            <w:tcW w:w="1726" w:type="dxa"/>
            <w:vAlign w:val="center"/>
          </w:tcPr>
          <w:p>
            <w:pPr>
              <w:jc w:val="center"/>
              <w:rPr>
                <w:szCs w:val="21"/>
                <w:highlight w:val="none"/>
              </w:rPr>
            </w:pPr>
            <w:r>
              <w:rPr>
                <w:rFonts w:hint="eastAsia"/>
                <w:szCs w:val="21"/>
                <w:highlight w:val="none"/>
              </w:rPr>
              <w:t>邮箱</w:t>
            </w:r>
          </w:p>
        </w:tc>
        <w:tc>
          <w:tcPr>
            <w:tcW w:w="2725" w:type="dxa"/>
            <w:vAlign w:val="center"/>
          </w:tcPr>
          <w:p>
            <w:pPr>
              <w:jc w:val="center"/>
              <w:rPr>
                <w:b/>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853" w:type="dxa"/>
            <w:vAlign w:val="center"/>
          </w:tcPr>
          <w:p>
            <w:pPr>
              <w:jc w:val="center"/>
              <w:rPr>
                <w:szCs w:val="21"/>
                <w:highlight w:val="none"/>
              </w:rPr>
            </w:pPr>
            <w:r>
              <w:rPr>
                <w:rFonts w:hint="eastAsia"/>
                <w:szCs w:val="21"/>
                <w:highlight w:val="none"/>
              </w:rPr>
              <w:t>电话</w:t>
            </w:r>
          </w:p>
        </w:tc>
        <w:tc>
          <w:tcPr>
            <w:tcW w:w="2597" w:type="dxa"/>
            <w:vAlign w:val="center"/>
          </w:tcPr>
          <w:p>
            <w:pPr>
              <w:jc w:val="center"/>
              <w:rPr>
                <w:b/>
                <w:sz w:val="28"/>
                <w:szCs w:val="28"/>
                <w:highlight w:val="none"/>
              </w:rPr>
            </w:pPr>
          </w:p>
        </w:tc>
        <w:tc>
          <w:tcPr>
            <w:tcW w:w="1726" w:type="dxa"/>
            <w:vAlign w:val="center"/>
          </w:tcPr>
          <w:p>
            <w:pPr>
              <w:jc w:val="center"/>
              <w:rPr>
                <w:szCs w:val="21"/>
                <w:highlight w:val="none"/>
              </w:rPr>
            </w:pPr>
            <w:r>
              <w:rPr>
                <w:rFonts w:hint="eastAsia"/>
                <w:szCs w:val="21"/>
                <w:highlight w:val="none"/>
              </w:rPr>
              <w:t>手机</w:t>
            </w:r>
          </w:p>
        </w:tc>
        <w:tc>
          <w:tcPr>
            <w:tcW w:w="2725" w:type="dxa"/>
            <w:vAlign w:val="center"/>
          </w:tcPr>
          <w:p>
            <w:pPr>
              <w:jc w:val="center"/>
              <w:rPr>
                <w:b/>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4"/>
            <w:shd w:val="clear" w:color="auto" w:fill="D9D9D9"/>
            <w:vAlign w:val="center"/>
          </w:tcPr>
          <w:p>
            <w:pPr>
              <w:jc w:val="center"/>
              <w:rPr>
                <w:highlight w:val="none"/>
              </w:rPr>
            </w:pPr>
            <w:r>
              <w:rPr>
                <w:rFonts w:hint="default" w:ascii="Times New Roman" w:hAnsi="Times New Roman"/>
                <w:b/>
                <w:sz w:val="24"/>
                <w:highlight w:val="none"/>
              </w:rPr>
              <w:t>业务申请信息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exact"/>
          <w:jc w:val="center"/>
        </w:trPr>
        <w:tc>
          <w:tcPr>
            <w:tcW w:w="1853" w:type="dxa"/>
            <w:vAlign w:val="center"/>
          </w:tcPr>
          <w:p>
            <w:pPr>
              <w:jc w:val="center"/>
              <w:rPr>
                <w:szCs w:val="21"/>
                <w:highlight w:val="none"/>
              </w:rPr>
            </w:pPr>
            <w:r>
              <w:rPr>
                <w:rFonts w:hint="eastAsia"/>
                <w:szCs w:val="21"/>
                <w:highlight w:val="none"/>
              </w:rPr>
              <w:t>业务类型</w:t>
            </w:r>
            <w:r>
              <w:rPr>
                <w:szCs w:val="21"/>
                <w:highlight w:val="none"/>
              </w:rPr>
              <w:t xml:space="preserve"> </w:t>
            </w:r>
          </w:p>
        </w:tc>
        <w:tc>
          <w:tcPr>
            <w:tcW w:w="7048" w:type="dxa"/>
            <w:gridSpan w:val="3"/>
            <w:vAlign w:val="center"/>
          </w:tcPr>
          <w:p>
            <w:pPr>
              <w:spacing w:line="360" w:lineRule="auto"/>
              <w:ind w:left="139" w:leftChars="66"/>
              <w:jc w:val="left"/>
              <w:rPr>
                <w:b/>
                <w:color w:val="FF0000"/>
                <w:sz w:val="28"/>
                <w:szCs w:val="28"/>
                <w:highlight w:val="none"/>
              </w:rPr>
            </w:pPr>
            <w:r>
              <w:rPr>
                <w:rFonts w:hint="default" w:ascii="Times New Roman" w:hAnsi="Times New Roman"/>
                <w:color w:val="000000"/>
                <w:szCs w:val="21"/>
                <w:highlight w:val="none"/>
              </w:rPr>
              <w:sym w:font="Wingdings 2" w:char="00A3"/>
            </w:r>
            <w:r>
              <w:rPr>
                <w:rFonts w:hint="default" w:ascii="Times New Roman" w:hAnsi="Times New Roman"/>
                <w:color w:val="000000"/>
                <w:szCs w:val="21"/>
                <w:highlight w:val="none"/>
              </w:rPr>
              <w:t xml:space="preserve">新增结算路径   </w:t>
            </w:r>
            <w:r>
              <w:rPr>
                <w:rFonts w:ascii="Times New Roman" w:hAnsi="Times New Roman"/>
                <w:color w:val="000000"/>
                <w:szCs w:val="21"/>
                <w:highlight w:val="none"/>
              </w:rPr>
              <w:t xml:space="preserve">      </w:t>
            </w:r>
            <w:r>
              <w:rPr>
                <w:rFonts w:hint="default" w:ascii="Times New Roman" w:hAnsi="Times New Roman"/>
                <w:color w:val="000000"/>
                <w:szCs w:val="21"/>
                <w:highlight w:val="none"/>
              </w:rPr>
              <w:t xml:space="preserve"> </w:t>
            </w:r>
            <w:r>
              <w:rPr>
                <w:rFonts w:hint="default" w:ascii="Times New Roman" w:hAnsi="Times New Roman"/>
                <w:color w:val="000000"/>
                <w:szCs w:val="21"/>
                <w:highlight w:val="none"/>
              </w:rPr>
              <w:sym w:font="Wingdings 2" w:char="00A3"/>
            </w:r>
            <w:r>
              <w:rPr>
                <w:rFonts w:hint="default" w:ascii="Times New Roman" w:hAnsi="Times New Roman"/>
                <w:color w:val="000000"/>
                <w:szCs w:val="21"/>
                <w:highlight w:val="none"/>
              </w:rPr>
              <w:t>撤销结算路径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exact"/>
          <w:jc w:val="center"/>
        </w:trPr>
        <w:tc>
          <w:tcPr>
            <w:tcW w:w="1853" w:type="dxa"/>
            <w:vAlign w:val="center"/>
          </w:tcPr>
          <w:p>
            <w:pPr>
              <w:jc w:val="center"/>
              <w:rPr>
                <w:szCs w:val="21"/>
                <w:highlight w:val="none"/>
              </w:rPr>
            </w:pPr>
            <w:r>
              <w:rPr>
                <w:rFonts w:hint="eastAsia"/>
                <w:szCs w:val="21"/>
                <w:highlight w:val="none"/>
              </w:rPr>
              <w:t>证券账户号码</w:t>
            </w:r>
          </w:p>
        </w:tc>
        <w:tc>
          <w:tcPr>
            <w:tcW w:w="2597" w:type="dxa"/>
            <w:vAlign w:val="center"/>
          </w:tcPr>
          <w:p>
            <w:pPr>
              <w:spacing w:line="360" w:lineRule="auto"/>
              <w:ind w:left="139" w:leftChars="66"/>
              <w:jc w:val="center"/>
              <w:rPr>
                <w:b/>
                <w:sz w:val="32"/>
                <w:szCs w:val="32"/>
                <w:highlight w:val="none"/>
              </w:rPr>
            </w:pPr>
          </w:p>
        </w:tc>
        <w:tc>
          <w:tcPr>
            <w:tcW w:w="1726" w:type="dxa"/>
            <w:vAlign w:val="center"/>
          </w:tcPr>
          <w:p>
            <w:pPr>
              <w:jc w:val="center"/>
              <w:rPr>
                <w:rFonts w:ascii="Times New Roman" w:hAnsi="Times New Roman"/>
                <w:color w:val="000000"/>
                <w:szCs w:val="21"/>
                <w:highlight w:val="none"/>
              </w:rPr>
            </w:pPr>
            <w:r>
              <w:rPr>
                <w:rFonts w:hint="default" w:ascii="Times New Roman" w:hAnsi="Times New Roman"/>
                <w:color w:val="000000"/>
                <w:szCs w:val="21"/>
                <w:highlight w:val="none"/>
              </w:rPr>
              <w:t>证券账户名称</w:t>
            </w:r>
          </w:p>
        </w:tc>
        <w:tc>
          <w:tcPr>
            <w:tcW w:w="2725" w:type="dxa"/>
            <w:vAlign w:val="center"/>
          </w:tcPr>
          <w:p>
            <w:pPr>
              <w:spacing w:line="360" w:lineRule="auto"/>
              <w:ind w:left="139" w:leftChars="66"/>
              <w:jc w:val="center"/>
              <w:rPr>
                <w:b/>
                <w:color w:val="FF000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exact"/>
          <w:jc w:val="center"/>
        </w:trPr>
        <w:tc>
          <w:tcPr>
            <w:tcW w:w="1853" w:type="dxa"/>
            <w:vAlign w:val="center"/>
          </w:tcPr>
          <w:p>
            <w:pPr>
              <w:jc w:val="center"/>
              <w:rPr>
                <w:szCs w:val="21"/>
                <w:highlight w:val="none"/>
              </w:rPr>
            </w:pPr>
            <w:r>
              <w:rPr>
                <w:rFonts w:hint="eastAsia"/>
                <w:szCs w:val="21"/>
                <w:highlight w:val="none"/>
              </w:rPr>
              <w:t>交易单元编号</w:t>
            </w:r>
          </w:p>
        </w:tc>
        <w:tc>
          <w:tcPr>
            <w:tcW w:w="2597" w:type="dxa"/>
            <w:vAlign w:val="center"/>
          </w:tcPr>
          <w:p>
            <w:pPr>
              <w:spacing w:line="360" w:lineRule="auto"/>
              <w:ind w:left="139" w:leftChars="66"/>
              <w:jc w:val="center"/>
              <w:rPr>
                <w:b/>
                <w:sz w:val="32"/>
                <w:szCs w:val="32"/>
                <w:highlight w:val="none"/>
              </w:rPr>
            </w:pPr>
          </w:p>
        </w:tc>
        <w:tc>
          <w:tcPr>
            <w:tcW w:w="1726" w:type="dxa"/>
            <w:vAlign w:val="center"/>
          </w:tcPr>
          <w:p>
            <w:pPr>
              <w:jc w:val="center"/>
              <w:rPr>
                <w:rFonts w:ascii="Times New Roman" w:hAnsi="Times New Roman"/>
                <w:color w:val="000000"/>
                <w:szCs w:val="21"/>
                <w:highlight w:val="none"/>
              </w:rPr>
            </w:pPr>
            <w:r>
              <w:rPr>
                <w:rFonts w:hint="default" w:ascii="Times New Roman" w:hAnsi="Times New Roman"/>
                <w:color w:val="000000"/>
                <w:szCs w:val="21"/>
                <w:highlight w:val="none"/>
              </w:rPr>
              <w:t>交易单元名称</w:t>
            </w:r>
          </w:p>
        </w:tc>
        <w:tc>
          <w:tcPr>
            <w:tcW w:w="2725" w:type="dxa"/>
            <w:vAlign w:val="center"/>
          </w:tcPr>
          <w:p>
            <w:pPr>
              <w:spacing w:line="360" w:lineRule="auto"/>
              <w:ind w:left="139" w:leftChars="66"/>
              <w:jc w:val="center"/>
              <w:rPr>
                <w:b/>
                <w:color w:val="FF000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exact"/>
          <w:jc w:val="center"/>
        </w:trPr>
        <w:tc>
          <w:tcPr>
            <w:tcW w:w="1853" w:type="dxa"/>
            <w:vAlign w:val="center"/>
          </w:tcPr>
          <w:p>
            <w:pPr>
              <w:jc w:val="center"/>
              <w:rPr>
                <w:szCs w:val="21"/>
                <w:highlight w:val="none"/>
              </w:rPr>
            </w:pPr>
            <w:r>
              <w:rPr>
                <w:rFonts w:hint="default" w:ascii="Times New Roman" w:hAnsi="Times New Roman"/>
                <w:color w:val="000000"/>
                <w:szCs w:val="21"/>
                <w:highlight w:val="none"/>
              </w:rPr>
              <w:t>托管单元编号</w:t>
            </w:r>
          </w:p>
        </w:tc>
        <w:tc>
          <w:tcPr>
            <w:tcW w:w="2597" w:type="dxa"/>
            <w:vAlign w:val="center"/>
          </w:tcPr>
          <w:p>
            <w:pPr>
              <w:spacing w:line="360" w:lineRule="auto"/>
              <w:ind w:left="139" w:leftChars="66"/>
              <w:jc w:val="center"/>
              <w:rPr>
                <w:b/>
                <w:sz w:val="32"/>
                <w:szCs w:val="32"/>
                <w:highlight w:val="none"/>
              </w:rPr>
            </w:pPr>
          </w:p>
        </w:tc>
        <w:tc>
          <w:tcPr>
            <w:tcW w:w="1726" w:type="dxa"/>
            <w:vAlign w:val="center"/>
          </w:tcPr>
          <w:p>
            <w:pPr>
              <w:jc w:val="center"/>
              <w:rPr>
                <w:rFonts w:ascii="Times New Roman" w:hAnsi="Times New Roman"/>
                <w:color w:val="000000"/>
                <w:szCs w:val="21"/>
                <w:highlight w:val="none"/>
              </w:rPr>
            </w:pPr>
            <w:r>
              <w:rPr>
                <w:rFonts w:hint="default" w:ascii="Times New Roman" w:hAnsi="Times New Roman"/>
                <w:color w:val="000000"/>
                <w:szCs w:val="21"/>
                <w:highlight w:val="none"/>
              </w:rPr>
              <w:t>托管单元名称</w:t>
            </w:r>
          </w:p>
        </w:tc>
        <w:tc>
          <w:tcPr>
            <w:tcW w:w="2725" w:type="dxa"/>
            <w:vAlign w:val="center"/>
          </w:tcPr>
          <w:p>
            <w:pPr>
              <w:spacing w:line="360" w:lineRule="auto"/>
              <w:ind w:left="139" w:leftChars="66"/>
              <w:jc w:val="center"/>
              <w:rPr>
                <w:b/>
                <w:color w:val="FF000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exact"/>
          <w:jc w:val="center"/>
        </w:trPr>
        <w:tc>
          <w:tcPr>
            <w:tcW w:w="1853" w:type="dxa"/>
            <w:vAlign w:val="center"/>
          </w:tcPr>
          <w:p>
            <w:pPr>
              <w:jc w:val="center"/>
              <w:rPr>
                <w:rFonts w:ascii="Times New Roman" w:hAnsi="Times New Roman"/>
                <w:color w:val="000000"/>
                <w:szCs w:val="21"/>
                <w:highlight w:val="none"/>
              </w:rPr>
            </w:pPr>
            <w:r>
              <w:rPr>
                <w:rFonts w:hint="default" w:ascii="Times New Roman" w:hAnsi="Times New Roman"/>
                <w:color w:val="000000"/>
                <w:szCs w:val="21"/>
                <w:highlight w:val="none"/>
              </w:rPr>
              <w:t>结算账号</w:t>
            </w:r>
          </w:p>
        </w:tc>
        <w:tc>
          <w:tcPr>
            <w:tcW w:w="2597" w:type="dxa"/>
            <w:vAlign w:val="center"/>
          </w:tcPr>
          <w:p>
            <w:pPr>
              <w:spacing w:line="360" w:lineRule="auto"/>
              <w:ind w:left="139" w:leftChars="66"/>
              <w:jc w:val="center"/>
              <w:rPr>
                <w:b/>
                <w:sz w:val="32"/>
                <w:szCs w:val="32"/>
                <w:highlight w:val="none"/>
              </w:rPr>
            </w:pPr>
          </w:p>
        </w:tc>
        <w:tc>
          <w:tcPr>
            <w:tcW w:w="1726" w:type="dxa"/>
            <w:vAlign w:val="center"/>
          </w:tcPr>
          <w:p>
            <w:pPr>
              <w:jc w:val="center"/>
              <w:rPr>
                <w:rFonts w:ascii="Times New Roman" w:hAnsi="Times New Roman"/>
                <w:color w:val="000000"/>
                <w:szCs w:val="21"/>
                <w:highlight w:val="none"/>
              </w:rPr>
            </w:pPr>
            <w:r>
              <w:rPr>
                <w:rFonts w:hint="default" w:ascii="Times New Roman" w:hAnsi="Times New Roman"/>
                <w:color w:val="000000"/>
                <w:szCs w:val="21"/>
                <w:highlight w:val="none"/>
              </w:rPr>
              <w:t>结算账户名称</w:t>
            </w:r>
          </w:p>
        </w:tc>
        <w:tc>
          <w:tcPr>
            <w:tcW w:w="2725" w:type="dxa"/>
            <w:vAlign w:val="center"/>
          </w:tcPr>
          <w:p>
            <w:pPr>
              <w:spacing w:line="360" w:lineRule="auto"/>
              <w:ind w:left="139" w:leftChars="66"/>
              <w:jc w:val="center"/>
              <w:rPr>
                <w:b/>
                <w:color w:val="FF000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3" w:hRule="atLeast"/>
          <w:jc w:val="center"/>
        </w:trPr>
        <w:tc>
          <w:tcPr>
            <w:tcW w:w="4450" w:type="dxa"/>
            <w:gridSpan w:val="2"/>
            <w:vAlign w:val="bottom"/>
          </w:tcPr>
          <w:p>
            <w:pPr>
              <w:jc w:val="center"/>
              <w:rPr>
                <w:color w:val="000000"/>
                <w:sz w:val="24"/>
                <w:highlight w:val="none"/>
              </w:rPr>
            </w:pPr>
          </w:p>
          <w:p>
            <w:pPr>
              <w:rPr>
                <w:color w:val="000000"/>
                <w:sz w:val="24"/>
                <w:highlight w:val="none"/>
              </w:rPr>
            </w:pPr>
            <w:r>
              <w:rPr>
                <w:rFonts w:hint="eastAsia"/>
                <w:color w:val="000000"/>
                <w:sz w:val="24"/>
                <w:highlight w:val="none"/>
              </w:rPr>
              <w:t>Q</w:t>
            </w:r>
            <w:r>
              <w:rPr>
                <w:color w:val="000000"/>
                <w:sz w:val="24"/>
                <w:highlight w:val="none"/>
              </w:rPr>
              <w:t>FII</w:t>
            </w:r>
            <w:r>
              <w:rPr>
                <w:rFonts w:hint="eastAsia"/>
                <w:color w:val="000000"/>
                <w:sz w:val="24"/>
                <w:highlight w:val="none"/>
              </w:rPr>
              <w:t>托管银行确认：</w:t>
            </w:r>
          </w:p>
          <w:p>
            <w:pPr>
              <w:rPr>
                <w:color w:val="000000"/>
                <w:sz w:val="24"/>
                <w:highlight w:val="none"/>
              </w:rPr>
            </w:pPr>
          </w:p>
          <w:p>
            <w:pPr>
              <w:rPr>
                <w:color w:val="000000"/>
                <w:sz w:val="24"/>
                <w:highlight w:val="none"/>
              </w:rPr>
            </w:pPr>
          </w:p>
          <w:p>
            <w:pPr>
              <w:rPr>
                <w:color w:val="000000"/>
                <w:sz w:val="24"/>
                <w:highlight w:val="none"/>
              </w:rPr>
            </w:pPr>
          </w:p>
          <w:p>
            <w:pPr>
              <w:ind w:firstLine="2400" w:firstLineChars="1000"/>
              <w:rPr>
                <w:color w:val="000000"/>
                <w:sz w:val="24"/>
                <w:highlight w:val="none"/>
              </w:rPr>
            </w:pPr>
            <w:r>
              <w:rPr>
                <w:rFonts w:hint="eastAsia"/>
                <w:color w:val="000000"/>
                <w:sz w:val="24"/>
                <w:highlight w:val="none"/>
              </w:rPr>
              <w:t>公章或预留印鉴</w:t>
            </w:r>
          </w:p>
          <w:p>
            <w:pPr>
              <w:jc w:val="center"/>
              <w:rPr>
                <w:color w:val="000000"/>
                <w:sz w:val="24"/>
                <w:highlight w:val="none"/>
              </w:rPr>
            </w:pPr>
          </w:p>
        </w:tc>
        <w:tc>
          <w:tcPr>
            <w:tcW w:w="4451" w:type="dxa"/>
            <w:gridSpan w:val="2"/>
            <w:vAlign w:val="bottom"/>
          </w:tcPr>
          <w:p>
            <w:pPr>
              <w:rPr>
                <w:color w:val="000000"/>
                <w:sz w:val="24"/>
                <w:highlight w:val="none"/>
              </w:rPr>
            </w:pPr>
          </w:p>
          <w:p>
            <w:pPr>
              <w:rPr>
                <w:color w:val="000000"/>
                <w:sz w:val="24"/>
                <w:highlight w:val="none"/>
              </w:rPr>
            </w:pPr>
            <w:r>
              <w:rPr>
                <w:rFonts w:hint="eastAsia"/>
                <w:color w:val="000000"/>
                <w:sz w:val="24"/>
                <w:highlight w:val="none"/>
              </w:rPr>
              <w:t>证券公司确认：</w:t>
            </w:r>
          </w:p>
          <w:p>
            <w:pPr>
              <w:rPr>
                <w:color w:val="000000"/>
                <w:sz w:val="24"/>
                <w:highlight w:val="none"/>
              </w:rPr>
            </w:pPr>
          </w:p>
          <w:p>
            <w:pPr>
              <w:rPr>
                <w:color w:val="000000"/>
                <w:sz w:val="24"/>
                <w:highlight w:val="none"/>
              </w:rPr>
            </w:pPr>
          </w:p>
          <w:p>
            <w:pPr>
              <w:rPr>
                <w:color w:val="000000"/>
                <w:sz w:val="24"/>
                <w:highlight w:val="none"/>
              </w:rPr>
            </w:pPr>
          </w:p>
          <w:p>
            <w:pPr>
              <w:ind w:firstLine="3120" w:firstLineChars="1300"/>
              <w:rPr>
                <w:color w:val="000000"/>
                <w:sz w:val="24"/>
                <w:highlight w:val="none"/>
              </w:rPr>
            </w:pPr>
            <w:r>
              <w:rPr>
                <w:rFonts w:hint="eastAsia"/>
                <w:color w:val="000000"/>
                <w:sz w:val="24"/>
                <w:highlight w:val="none"/>
              </w:rPr>
              <w:t>公章</w:t>
            </w:r>
          </w:p>
          <w:p>
            <w:pPr>
              <w:jc w:val="center"/>
              <w:rPr>
                <w:color w:val="00000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4"/>
            <w:shd w:val="clear" w:color="auto" w:fill="D9D9D9"/>
            <w:vAlign w:val="center"/>
          </w:tcPr>
          <w:p>
            <w:pPr>
              <w:jc w:val="center"/>
              <w:rPr>
                <w:highlight w:val="none"/>
              </w:rPr>
            </w:pPr>
            <w:r>
              <w:rPr>
                <w:rFonts w:ascii="Times New Roman" w:hAnsi="Times New Roman"/>
                <w:color w:val="000000"/>
                <w:szCs w:val="21"/>
                <w:highlight w:val="none"/>
              </w:rPr>
              <w:t>以下由</w:t>
            </w:r>
            <w:r>
              <w:rPr>
                <w:rFonts w:hint="default" w:ascii="Times New Roman" w:hAnsi="Times New Roman"/>
                <w:color w:val="000000"/>
                <w:szCs w:val="21"/>
                <w:highlight w:val="none"/>
              </w:rPr>
              <w:t>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2" w:hRule="atLeast"/>
          <w:jc w:val="center"/>
        </w:trPr>
        <w:tc>
          <w:tcPr>
            <w:tcW w:w="4450" w:type="dxa"/>
            <w:gridSpan w:val="2"/>
          </w:tcPr>
          <w:p>
            <w:pPr>
              <w:spacing w:line="280" w:lineRule="exact"/>
              <w:rPr>
                <w:rFonts w:ascii="Times New Roman" w:hAnsi="Times New Roman"/>
                <w:sz w:val="24"/>
                <w:highlight w:val="none"/>
              </w:rPr>
            </w:pPr>
            <w:r>
              <w:rPr>
                <w:rFonts w:hint="default" w:hAnsi="Times New Roman"/>
                <w:color w:val="000000"/>
                <w:szCs w:val="21"/>
                <w:highlight w:val="none"/>
              </w:rPr>
              <w:t>办理结果：</w:t>
            </w:r>
          </w:p>
        </w:tc>
        <w:tc>
          <w:tcPr>
            <w:tcW w:w="4451" w:type="dxa"/>
            <w:gridSpan w:val="2"/>
            <w:vMerge w:val="restart"/>
          </w:tcPr>
          <w:p>
            <w:pPr>
              <w:spacing w:line="280" w:lineRule="exact"/>
              <w:ind w:firstLine="105" w:firstLineChars="50"/>
              <w:rPr>
                <w:highlight w:val="none"/>
              </w:rPr>
            </w:pPr>
          </w:p>
          <w:p>
            <w:pPr>
              <w:spacing w:line="280" w:lineRule="exact"/>
              <w:ind w:firstLine="105" w:firstLineChars="50"/>
              <w:rPr>
                <w:highlight w:val="none"/>
              </w:rPr>
            </w:pPr>
          </w:p>
          <w:p>
            <w:pPr>
              <w:spacing w:line="280" w:lineRule="exact"/>
              <w:ind w:firstLine="3150" w:firstLineChars="1500"/>
              <w:rPr>
                <w:highlight w:val="none"/>
              </w:rPr>
            </w:pPr>
          </w:p>
          <w:p>
            <w:pPr>
              <w:spacing w:line="280" w:lineRule="exact"/>
              <w:ind w:firstLine="3150" w:firstLineChars="1500"/>
              <w:rPr>
                <w:rFonts w:ascii="Times New Roman" w:hAnsi="Times New Roman"/>
                <w:sz w:val="24"/>
                <w:highlight w:val="none"/>
              </w:rPr>
            </w:pPr>
            <w:r>
              <w:rPr>
                <w:rFonts w:hint="eastAsia"/>
                <w:highlight w:val="none"/>
              </w:rPr>
              <w:t>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7" w:hRule="atLeast"/>
          <w:jc w:val="center"/>
        </w:trPr>
        <w:tc>
          <w:tcPr>
            <w:tcW w:w="4450" w:type="dxa"/>
            <w:gridSpan w:val="2"/>
          </w:tcPr>
          <w:p>
            <w:pPr>
              <w:spacing w:line="280" w:lineRule="exact"/>
              <w:rPr>
                <w:color w:val="000000"/>
                <w:szCs w:val="21"/>
                <w:highlight w:val="none"/>
              </w:rPr>
            </w:pPr>
            <w:r>
              <w:rPr>
                <w:rFonts w:hAnsi="Times New Roman"/>
                <w:color w:val="000000"/>
                <w:szCs w:val="21"/>
                <w:highlight w:val="none"/>
              </w:rPr>
              <w:t>经办人签字：</w:t>
            </w:r>
          </w:p>
          <w:p>
            <w:pPr>
              <w:spacing w:line="280" w:lineRule="exact"/>
              <w:rPr>
                <w:highlight w:val="none"/>
              </w:rPr>
            </w:pPr>
            <w:r>
              <w:rPr>
                <w:rFonts w:hint="eastAsia"/>
                <w:highlight w:val="none"/>
              </w:rPr>
              <w:t>日期：</w:t>
            </w:r>
          </w:p>
        </w:tc>
        <w:tc>
          <w:tcPr>
            <w:tcW w:w="4451" w:type="dxa"/>
            <w:gridSpan w:val="2"/>
            <w:vMerge w:val="continue"/>
          </w:tcPr>
          <w:p>
            <w:pPr>
              <w:spacing w:line="280" w:lineRule="exact"/>
              <w:rPr>
                <w:rFonts w:ascii="Times New Roman" w:hAnsi="Times New Roman"/>
                <w:sz w:val="24"/>
                <w:highlight w:val="none"/>
              </w:rPr>
            </w:pPr>
          </w:p>
        </w:tc>
      </w:tr>
    </w:tbl>
    <w:p>
      <w:pPr>
        <w:autoSpaceDE w:val="0"/>
        <w:autoSpaceDN w:val="0"/>
        <w:adjustRightInd w:val="0"/>
        <w:jc w:val="left"/>
        <w:rPr>
          <w:rFonts w:ascii="Times New Roman" w:hAnsi="Times New Roman" w:cs="Times New Roman"/>
          <w:color w:val="000000"/>
          <w:kern w:val="0"/>
          <w:sz w:val="18"/>
          <w:szCs w:val="18"/>
          <w:highlight w:val="none"/>
        </w:rPr>
      </w:pPr>
      <w:r>
        <w:rPr>
          <w:rFonts w:ascii="Times New Roman" w:hAnsi="Times New Roman" w:cs="Times New Roman"/>
          <w:color w:val="000000"/>
          <w:kern w:val="0"/>
          <w:sz w:val="18"/>
          <w:szCs w:val="18"/>
          <w:highlight w:val="none"/>
        </w:rPr>
        <w:t>注意事项：</w:t>
      </w:r>
    </w:p>
    <w:p>
      <w:pPr>
        <w:autoSpaceDE w:val="0"/>
        <w:autoSpaceDN w:val="0"/>
        <w:adjustRightInd w:val="0"/>
        <w:jc w:val="left"/>
        <w:rPr>
          <w:rFonts w:ascii="Times New Roman" w:hAnsi="Times New Roman" w:cs="Times New Roman"/>
          <w:color w:val="000000"/>
          <w:kern w:val="0"/>
          <w:sz w:val="18"/>
          <w:szCs w:val="18"/>
          <w:highlight w:val="none"/>
        </w:rPr>
      </w:pPr>
      <w:r>
        <w:rPr>
          <w:rFonts w:ascii="Times New Roman" w:hAnsi="Times New Roman" w:cs="Times New Roman"/>
          <w:color w:val="000000"/>
          <w:kern w:val="0"/>
          <w:sz w:val="18"/>
          <w:szCs w:val="18"/>
          <w:highlight w:val="none"/>
        </w:rPr>
        <w:t>1</w:t>
      </w:r>
      <w:r>
        <w:rPr>
          <w:rFonts w:hint="default" w:ascii="Times New Roman" w:hAnsi="Times New Roman" w:cs="Times New Roman"/>
          <w:color w:val="000000"/>
          <w:kern w:val="0"/>
          <w:sz w:val="18"/>
          <w:szCs w:val="18"/>
          <w:highlight w:val="none"/>
        </w:rPr>
        <w:t>、业务类型选择“新增结算路径</w:t>
      </w:r>
      <w:r>
        <w:rPr>
          <w:rFonts w:hint="default" w:ascii="Times New Roman" w:cs="Times New Roman"/>
          <w:sz w:val="18"/>
          <w:szCs w:val="18"/>
          <w:highlight w:val="none"/>
        </w:rPr>
        <w:t>”，证券账户号码无需填写。</w:t>
      </w:r>
    </w:p>
    <w:p>
      <w:pPr>
        <w:autoSpaceDE w:val="0"/>
        <w:autoSpaceDN w:val="0"/>
        <w:adjustRightInd w:val="0"/>
        <w:jc w:val="left"/>
        <w:rPr>
          <w:rFonts w:ascii="Times New Roman" w:hAnsi="Times New Roman" w:cs="Times New Roman"/>
          <w:color w:val="000000"/>
          <w:kern w:val="0"/>
          <w:sz w:val="18"/>
          <w:szCs w:val="18"/>
          <w:highlight w:val="none"/>
        </w:rPr>
      </w:pPr>
      <w:r>
        <w:rPr>
          <w:rFonts w:hint="default" w:ascii="Times New Roman" w:cs="Times New Roman"/>
          <w:sz w:val="18"/>
          <w:szCs w:val="18"/>
          <w:highlight w:val="none"/>
        </w:rPr>
        <w:t>2、证券公司指为互联互通存托凭证存托人、境外跨境转换机构提供经纪服务的深交所会员。</w:t>
      </w:r>
    </w:p>
    <w:p>
      <w:pPr>
        <w:autoSpaceDE w:val="0"/>
        <w:autoSpaceDN w:val="0"/>
        <w:adjustRightInd w:val="0"/>
        <w:jc w:val="left"/>
        <w:rPr>
          <w:rFonts w:ascii="Times New Roman" w:cs="Times New Roman"/>
          <w:sz w:val="18"/>
          <w:szCs w:val="18"/>
          <w:highlight w:val="none"/>
        </w:rPr>
      </w:pPr>
      <w:r>
        <w:rPr>
          <w:rFonts w:ascii="Times New Roman" w:cs="Times New Roman"/>
          <w:sz w:val="18"/>
          <w:szCs w:val="18"/>
          <w:highlight w:val="none"/>
        </w:rPr>
        <w:t>3</w:t>
      </w:r>
      <w:r>
        <w:rPr>
          <w:rFonts w:hint="default" w:ascii="Times New Roman" w:cs="Times New Roman"/>
          <w:sz w:val="18"/>
          <w:szCs w:val="18"/>
          <w:highlight w:val="none"/>
        </w:rPr>
        <w:t>、联系地址：深圳市福田区深南大道2012号深圳证券交易所广场中国结算深圳分公司结算业务部；邮编：518038；联系电话：0755-21899208。</w:t>
      </w:r>
    </w:p>
    <w:p>
      <w:pPr>
        <w:rPr>
          <w:highlight w:val="none"/>
        </w:rPr>
      </w:pPr>
    </w:p>
    <w:p>
      <w:pPr>
        <w:rPr>
          <w:rFonts w:hint="default" w:ascii="FangSong_GB2312" w:hAnsi="FangSong_GB2312" w:eastAsia="FangSong_GB2312"/>
          <w:color w:val="000000"/>
          <w:sz w:val="40"/>
          <w:szCs w:val="24"/>
          <w:highlight w:val="none"/>
        </w:rPr>
      </w:pPr>
      <w:r>
        <w:rPr>
          <w:rFonts w:hint="eastAsia" w:ascii="仿宋_GB2312" w:hAnsi="仿宋_GB2312" w:eastAsia="仿宋_GB2312" w:cs="仿宋_GB2312"/>
          <w:color w:val="auto"/>
          <w:sz w:val="30"/>
          <w:szCs w:val="30"/>
        </w:rPr>
        <w:br w:type="page"/>
      </w:r>
    </w:p>
    <w:p>
      <w:pPr>
        <w:pStyle w:val="2"/>
        <w:bidi w:val="0"/>
        <w:jc w:val="center"/>
        <w:rPr>
          <w:rFonts w:hint="eastAsia" w:ascii="黑体" w:hAnsi="黑体" w:eastAsia="黑体" w:cs="黑体"/>
          <w:sz w:val="32"/>
          <w:szCs w:val="32"/>
        </w:rPr>
      </w:pPr>
      <w:bookmarkStart w:id="3" w:name="_Toc1775025443"/>
      <w:r>
        <w:rPr>
          <w:rFonts w:hint="eastAsia" w:ascii="黑体" w:hAnsi="黑体" w:eastAsia="黑体" w:cs="黑体"/>
          <w:sz w:val="32"/>
          <w:szCs w:val="32"/>
        </w:rPr>
        <w:t>互联互通中国存托凭证现金权益发放业务申请表</w:t>
      </w:r>
      <w:bookmarkEnd w:id="3"/>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特委托贵公司代理我公司派发以下现金红利，有关事项申请</w:t>
      </w:r>
      <w:r>
        <w:rPr>
          <w:rFonts w:hint="eastAsia" w:ascii="Times New Roman" w:hAnsi="Times New Roman" w:eastAsia="宋体" w:cs="Times New Roman"/>
          <w:sz w:val="24"/>
          <w:szCs w:val="24"/>
        </w:rPr>
        <w:t>如下：</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887"/>
        <w:gridCol w:w="2309"/>
        <w:gridCol w:w="1721"/>
        <w:gridCol w:w="767"/>
        <w:gridCol w:w="2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公司全称</w:t>
            </w:r>
          </w:p>
        </w:tc>
        <w:tc>
          <w:tcPr>
            <w:tcW w:w="7088"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代码</w:t>
            </w:r>
          </w:p>
        </w:tc>
        <w:tc>
          <w:tcPr>
            <w:tcW w:w="230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c>
          <w:tcPr>
            <w:tcW w:w="2488"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简称</w:t>
            </w:r>
          </w:p>
        </w:tc>
        <w:tc>
          <w:tcPr>
            <w:tcW w:w="229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派发年份</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权益次数</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权益登记日</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权益到账日</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权益分派方案</w:t>
            </w:r>
          </w:p>
        </w:tc>
        <w:tc>
          <w:tcPr>
            <w:tcW w:w="7088"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每</w:t>
            </w:r>
            <w:r>
              <w:rPr>
                <w:rFonts w:hint="eastAsia" w:ascii="Times New Roman" w:hAnsi="Times New Roman" w:eastAsia="宋体" w:cs="Times New Roman"/>
                <w:sz w:val="24"/>
                <w:szCs w:val="24"/>
                <w:lang w:val="en-US" w:eastAsia="zh-CN"/>
              </w:rPr>
              <w:t>10股</w:t>
            </w:r>
            <w:r>
              <w:rPr>
                <w:rFonts w:hint="eastAsia" w:ascii="Times New Roman" w:hAnsi="Times New Roman" w:eastAsia="宋体" w:cs="Times New Roman"/>
                <w:sz w:val="24"/>
                <w:szCs w:val="24"/>
              </w:rPr>
              <w:t>派现金</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元（税前</w:t>
            </w:r>
            <w:r>
              <w:rPr>
                <w:rFonts w:hint="eastAsia" w:ascii="Times New Roman" w:hAnsi="Times New Roman" w:eastAsia="宋体" w:cs="Times New Roman"/>
                <w:sz w:val="24"/>
                <w:szCs w:val="24"/>
                <w:lang w:eastAsia="zh-CN"/>
              </w:rPr>
              <w:t>；币种：人民币</w:t>
            </w:r>
            <w:r>
              <w:rPr>
                <w:rFonts w:hint="eastAsia"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1951"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税后现金红利发放以及税款补缴情况</w:t>
            </w:r>
          </w:p>
          <w:p>
            <w:pPr>
              <w:ind w:firstLine="0" w:firstLineChars="0"/>
              <w:rPr>
                <w:rFonts w:ascii="Times New Roman" w:hAnsi="Times New Roman" w:eastAsia="宋体" w:cs="Times New Roman"/>
                <w:sz w:val="24"/>
                <w:szCs w:val="24"/>
              </w:rPr>
            </w:pPr>
          </w:p>
        </w:tc>
        <w:tc>
          <w:tcPr>
            <w:tcW w:w="7088"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（一）</w:t>
            </w:r>
            <w:r>
              <w:rPr>
                <w:rFonts w:hint="eastAsia" w:ascii="Times New Roman" w:hAnsi="Times New Roman" w:eastAsia="宋体" w:cs="Times New Roman"/>
                <w:sz w:val="24"/>
                <w:szCs w:val="24"/>
              </w:rPr>
              <w:t>合格境外机构投资者（QFII、RQFII）、境外战略投资者、以及持有首发前限售股的个人和证券投资基金扣税后，每10股派现金</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元</w:t>
            </w:r>
            <w:r>
              <w:rPr>
                <w:rFonts w:hint="eastAsia" w:ascii="Times New Roman" w:hAnsi="Times New Roman" w:eastAsia="宋体" w:cs="Times New Roman"/>
                <w:sz w:val="24"/>
                <w:szCs w:val="24"/>
                <w:lang w:eastAsia="zh-CN"/>
              </w:rPr>
              <w:t>。</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（二）</w:t>
            </w:r>
            <w:r>
              <w:rPr>
                <w:rFonts w:hint="eastAsia" w:ascii="Times New Roman" w:hAnsi="Times New Roman" w:eastAsia="宋体" w:cs="Times New Roman"/>
                <w:sz w:val="24"/>
                <w:szCs w:val="24"/>
              </w:rPr>
              <w:t>持有非首发前限售股、无限售流通股的个人和证券投资基金，先按每</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10股派现金</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待投资者减持股票时，再按实际持股期限补缴税款</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持股1个月（含1个月）以内，每10股补缴税款</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元（实际应补缴税率20%）；持股1个月以上至1年（含1年）的，每10股补缴税款</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4" w:type="dxa"/>
            <w:vMerge w:val="restart"/>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现金红利自派选择</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（按股份性质或按证券账户</w:t>
            </w:r>
            <w:r>
              <w:rPr>
                <w:rFonts w:hint="eastAsia" w:ascii="Times New Roman" w:hAnsi="Times New Roman" w:eastAsia="宋体" w:cs="Times New Roman"/>
                <w:sz w:val="24"/>
                <w:szCs w:val="24"/>
                <w:lang w:eastAsia="zh-CN"/>
              </w:rPr>
              <w:t>号</w:t>
            </w:r>
            <w:r>
              <w:rPr>
                <w:rFonts w:hint="eastAsia" w:ascii="Times New Roman" w:hAnsi="Times New Roman" w:eastAsia="宋体" w:cs="Times New Roman"/>
                <w:sz w:val="24"/>
                <w:szCs w:val="24"/>
              </w:rPr>
              <w:t>码选择）</w:t>
            </w:r>
          </w:p>
        </w:tc>
        <w:tc>
          <w:tcPr>
            <w:tcW w:w="887" w:type="dxa"/>
            <w:vMerge w:val="restart"/>
            <w:tcBorders>
              <w:top w:val="single" w:color="auto" w:sz="4" w:space="0"/>
              <w:left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按股份性质</w:t>
            </w:r>
          </w:p>
        </w:tc>
        <w:tc>
          <w:tcPr>
            <w:tcW w:w="4797"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首发后限售股（01）</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□自派□代派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64"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p>
        </w:tc>
        <w:tc>
          <w:tcPr>
            <w:tcW w:w="887" w:type="dxa"/>
            <w:vMerge w:val="continue"/>
            <w:tcBorders>
              <w:left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p>
        </w:tc>
        <w:tc>
          <w:tcPr>
            <w:tcW w:w="4797"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股权激励限售股（02）</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□自派□代派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64"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p>
        </w:tc>
        <w:tc>
          <w:tcPr>
            <w:tcW w:w="887" w:type="dxa"/>
            <w:vMerge w:val="continue"/>
            <w:tcBorders>
              <w:left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c>
          <w:tcPr>
            <w:tcW w:w="4797"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首发前限售股（05）</w:t>
            </w:r>
          </w:p>
        </w:tc>
        <w:tc>
          <w:tcPr>
            <w:tcW w:w="229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□自派□代派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64"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p>
        </w:tc>
        <w:tc>
          <w:tcPr>
            <w:tcW w:w="887" w:type="dxa"/>
            <w:vMerge w:val="continue"/>
            <w:tcBorders>
              <w:left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c>
          <w:tcPr>
            <w:tcW w:w="4797"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首发后可出借限售股（07）</w:t>
            </w:r>
          </w:p>
        </w:tc>
        <w:tc>
          <w:tcPr>
            <w:tcW w:w="229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□自派□代派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64"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p>
        </w:tc>
        <w:tc>
          <w:tcPr>
            <w:tcW w:w="88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按证券账户</w:t>
            </w:r>
          </w:p>
        </w:tc>
        <w:tc>
          <w:tcPr>
            <w:tcW w:w="7088"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自派证券账户</w:t>
            </w:r>
            <w:r>
              <w:rPr>
                <w:rFonts w:hint="eastAsia" w:ascii="Times New Roman" w:hAnsi="Times New Roman" w:eastAsia="宋体" w:cs="Times New Roman"/>
                <w:sz w:val="24"/>
                <w:szCs w:val="24"/>
                <w:lang w:eastAsia="zh-CN"/>
              </w:rPr>
              <w:t>号</w:t>
            </w:r>
            <w:r>
              <w:rPr>
                <w:rFonts w:hint="eastAsia" w:ascii="Times New Roman" w:hAnsi="Times New Roman" w:eastAsia="宋体" w:cs="Times New Roman"/>
                <w:sz w:val="24"/>
                <w:szCs w:val="24"/>
              </w:rPr>
              <w:t>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5981" w:type="dxa"/>
            <w:gridSpan w:val="4"/>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存在自派股份的业务保证金金额（元）</w:t>
            </w:r>
          </w:p>
        </w:tc>
        <w:tc>
          <w:tcPr>
            <w:tcW w:w="305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gridSpan w:val="6"/>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9039" w:type="dxa"/>
            <w:gridSpan w:val="6"/>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经办人（签字）：</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电话：</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传真：</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手机：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申请人名称及公章：</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年月日</w:t>
            </w:r>
          </w:p>
        </w:tc>
      </w:tr>
    </w:tbl>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以下由中国证券登记结算有限责任公司深圳分公司填写：</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受理情况</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eastAsia="zh-CN"/>
        </w:rPr>
        <w:t>已受理</w:t>
      </w:r>
      <w:r>
        <w:rPr>
          <w:rFonts w:hint="eastAsia" w:ascii="Times New Roman" w:hAnsi="Times New Roman" w:eastAsia="宋体" w:cs="Times New Roman"/>
          <w:sz w:val="24"/>
          <w:szCs w:val="24"/>
        </w:rPr>
        <w:t>权益分派</w:t>
      </w:r>
      <w:r>
        <w:rPr>
          <w:rFonts w:hint="eastAsia" w:ascii="Times New Roman" w:hAnsi="Times New Roman" w:eastAsia="宋体" w:cs="Times New Roman"/>
          <w:sz w:val="24"/>
          <w:szCs w:val="24"/>
          <w:lang w:eastAsia="zh-CN"/>
        </w:rPr>
        <w:t>委托</w:t>
      </w:r>
      <w:r>
        <w:rPr>
          <w:rFonts w:hint="eastAsia" w:ascii="Times New Roman" w:hAnsi="Times New Roman" w:eastAsia="宋体" w:cs="Times New Roman"/>
          <w:sz w:val="24"/>
          <w:szCs w:val="24"/>
        </w:rPr>
        <w:t>申请</w:t>
      </w:r>
      <w:r>
        <w:rPr>
          <w:rFonts w:hint="eastAsia" w:ascii="Times New Roman" w:hAnsi="Times New Roman" w:eastAsia="宋体" w:cs="Times New Roman"/>
          <w:sz w:val="24"/>
          <w:szCs w:val="24"/>
          <w:lang w:eastAsia="zh-CN"/>
        </w:rPr>
        <w:t>，请关注后续业务进展</w:t>
      </w:r>
      <w:r>
        <w:rPr>
          <w:rFonts w:hint="eastAsia" w:ascii="Times New Roman" w:hAnsi="Times New Roman" w:eastAsia="宋体" w:cs="Times New Roman"/>
          <w:sz w:val="24"/>
          <w:szCs w:val="24"/>
        </w:rPr>
        <w:t>。</w:t>
      </w:r>
    </w:p>
    <w:p>
      <w:pPr>
        <w:ind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经办人：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盖章：</w:t>
      </w:r>
    </w:p>
    <w:p/>
    <w:p/>
    <w:p>
      <w:r>
        <w:rPr>
          <w:rFonts w:hint="eastAsia" w:ascii="仿宋_GB2312" w:hAnsi="仿宋_GB2312" w:eastAsia="仿宋_GB2312" w:cs="仿宋_GB2312"/>
          <w:color w:val="auto"/>
          <w:sz w:val="30"/>
          <w:szCs w:val="30"/>
        </w:rPr>
        <w:br w:type="page"/>
      </w:r>
    </w:p>
    <w:p>
      <w:pPr>
        <w:pStyle w:val="2"/>
        <w:bidi w:val="0"/>
        <w:jc w:val="center"/>
        <w:rPr>
          <w:rFonts w:hint="eastAsia" w:ascii="黑体" w:hAnsi="黑体" w:eastAsia="黑体" w:cs="黑体"/>
          <w:sz w:val="32"/>
          <w:szCs w:val="32"/>
          <w:lang w:eastAsia="zh-CN"/>
        </w:rPr>
      </w:pPr>
      <w:bookmarkStart w:id="4" w:name="_Toc904643959"/>
      <w:r>
        <w:rPr>
          <w:rFonts w:hint="eastAsia" w:ascii="黑体" w:hAnsi="黑体" w:eastAsia="黑体" w:cs="黑体"/>
          <w:sz w:val="32"/>
          <w:szCs w:val="32"/>
        </w:rPr>
        <w:t>互联互通中国存托凭证现金权益发放</w:t>
      </w:r>
      <w:r>
        <w:rPr>
          <w:rFonts w:hint="eastAsia" w:ascii="黑体" w:hAnsi="黑体" w:eastAsia="黑体" w:cs="黑体"/>
          <w:sz w:val="32"/>
          <w:szCs w:val="32"/>
          <w:lang w:eastAsia="zh-CN"/>
        </w:rPr>
        <w:t>信息通知书</w:t>
      </w:r>
      <w:bookmarkEnd w:id="4"/>
    </w:p>
    <w:p>
      <w:pPr>
        <w:ind w:firstLine="0" w:firstLineChars="0"/>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中国证券登记结算有限责任公司深圳分公司：</w:t>
      </w:r>
    </w:p>
    <w:p>
      <w:pPr>
        <w:ind w:firstLine="480" w:firstLineChars="200"/>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特委托贵公司代理我公司派发的</w:t>
      </w:r>
      <w:r>
        <w:rPr>
          <w:rFonts w:hint="eastAsia" w:ascii="Times New Roman" w:hAnsi="Times New Roman" w:eastAsia="宋体" w:cs="Times New Roman"/>
          <w:sz w:val="24"/>
          <w:szCs w:val="24"/>
          <w:lang w:val="en-US" w:eastAsia="zh-CN"/>
        </w:rPr>
        <w:t>20  年度第  次现金权益的发放信息通知如下</w:t>
      </w:r>
      <w:r>
        <w:rPr>
          <w:rFonts w:hint="eastAsia" w:ascii="Times New Roman" w:hAnsi="Times New Roman" w:eastAsia="宋体" w:cs="Times New Roman"/>
          <w:sz w:val="24"/>
          <w:szCs w:val="24"/>
          <w:lang w:eastAsia="zh-CN"/>
        </w:rPr>
        <w:t>：</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309"/>
        <w:gridCol w:w="2488"/>
        <w:gridCol w:w="2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公司全称</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代码</w:t>
            </w:r>
          </w:p>
        </w:tc>
        <w:tc>
          <w:tcPr>
            <w:tcW w:w="230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c>
          <w:tcPr>
            <w:tcW w:w="248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简称</w:t>
            </w:r>
          </w:p>
        </w:tc>
        <w:tc>
          <w:tcPr>
            <w:tcW w:w="229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派发年份</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权益次数</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权益登记日</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权益到账日</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权益分派方案</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每</w:t>
            </w:r>
            <w:r>
              <w:rPr>
                <w:rFonts w:hint="eastAsia" w:ascii="Times New Roman" w:hAnsi="Times New Roman" w:eastAsia="宋体" w:cs="Times New Roman"/>
                <w:sz w:val="24"/>
                <w:szCs w:val="24"/>
                <w:lang w:val="en-US" w:eastAsia="zh-CN"/>
              </w:rPr>
              <w:t>10股</w:t>
            </w:r>
            <w:r>
              <w:rPr>
                <w:rFonts w:hint="eastAsia" w:ascii="Times New Roman" w:hAnsi="Times New Roman" w:eastAsia="宋体" w:cs="Times New Roman"/>
                <w:sz w:val="24"/>
                <w:szCs w:val="24"/>
              </w:rPr>
              <w:t>派现金</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元（税前</w:t>
            </w:r>
            <w:r>
              <w:rPr>
                <w:rFonts w:hint="eastAsia" w:ascii="Times New Roman" w:hAnsi="Times New Roman" w:eastAsia="宋体" w:cs="Times New Roman"/>
                <w:sz w:val="24"/>
                <w:szCs w:val="24"/>
                <w:lang w:eastAsia="zh-CN"/>
              </w:rPr>
              <w:t>；币种：人民币</w:t>
            </w:r>
            <w:r>
              <w:rPr>
                <w:rFonts w:hint="eastAsia"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260"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现金权益预付款总额（元）</w:t>
            </w:r>
          </w:p>
        </w:tc>
        <w:tc>
          <w:tcPr>
            <w:tcW w:w="4779"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经办人（签字）：</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电话：</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传真：</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手机：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申请人名称及公章：</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年月日</w:t>
            </w:r>
          </w:p>
        </w:tc>
      </w:tr>
    </w:tbl>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以下由中国证券登记结算有限责任公司深圳分公司填写：</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受理情况</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eastAsia="zh-CN"/>
        </w:rPr>
        <w:t>已受理</w:t>
      </w:r>
      <w:r>
        <w:rPr>
          <w:rFonts w:hint="eastAsia" w:ascii="Times New Roman" w:hAnsi="Times New Roman" w:eastAsia="宋体" w:cs="Times New Roman"/>
          <w:sz w:val="24"/>
          <w:szCs w:val="24"/>
        </w:rPr>
        <w:t>权益分派</w:t>
      </w:r>
      <w:r>
        <w:rPr>
          <w:rFonts w:hint="eastAsia" w:ascii="Times New Roman" w:hAnsi="Times New Roman" w:eastAsia="宋体" w:cs="Times New Roman"/>
          <w:sz w:val="24"/>
          <w:szCs w:val="24"/>
          <w:lang w:eastAsia="zh-CN"/>
        </w:rPr>
        <w:t>委托</w:t>
      </w:r>
      <w:r>
        <w:rPr>
          <w:rFonts w:hint="eastAsia" w:ascii="Times New Roman" w:hAnsi="Times New Roman" w:eastAsia="宋体" w:cs="Times New Roman"/>
          <w:sz w:val="24"/>
          <w:szCs w:val="24"/>
        </w:rPr>
        <w:t>申请</w:t>
      </w:r>
      <w:r>
        <w:rPr>
          <w:rFonts w:hint="eastAsia" w:ascii="Times New Roman" w:hAnsi="Times New Roman" w:eastAsia="宋体" w:cs="Times New Roman"/>
          <w:sz w:val="24"/>
          <w:szCs w:val="24"/>
          <w:lang w:eastAsia="zh-CN"/>
        </w:rPr>
        <w:t>，请关注后续业务进展</w:t>
      </w:r>
      <w:r>
        <w:rPr>
          <w:rFonts w:hint="eastAsia" w:ascii="Times New Roman" w:hAnsi="Times New Roman" w:eastAsia="宋体" w:cs="Times New Roman"/>
          <w:sz w:val="24"/>
          <w:szCs w:val="24"/>
        </w:rPr>
        <w:t>。</w:t>
      </w:r>
    </w:p>
    <w:p>
      <w:pPr>
        <w:ind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经办人：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盖章：</w:t>
      </w:r>
    </w:p>
    <w:p>
      <w:pPr>
        <w:ind w:firstLine="0" w:firstLineChars="0"/>
        <w:rPr>
          <w:rFonts w:hint="eastAsia" w:ascii="Times New Roman" w:hAnsi="Times New Roman" w:eastAsia="宋体" w:cs="Times New Roman"/>
          <w:sz w:val="21"/>
          <w:szCs w:val="24"/>
        </w:rPr>
      </w:pPr>
    </w:p>
    <w:p>
      <w:pPr>
        <w:ind w:firstLine="0" w:firstLineChars="0"/>
        <w:rPr>
          <w:rFonts w:hint="eastAsia" w:ascii="Times New Roman" w:hAnsi="Times New Roman" w:eastAsia="宋体" w:cs="Times New Roman"/>
          <w:sz w:val="21"/>
          <w:szCs w:val="24"/>
        </w:rPr>
      </w:pPr>
    </w:p>
    <w:p>
      <w:pPr>
        <w:rPr>
          <w:rFonts w:hint="eastAsia" w:ascii="Times New Roman" w:hAnsi="Times New Roman" w:eastAsia="宋体" w:cs="Times New Roman"/>
          <w:sz w:val="21"/>
          <w:szCs w:val="24"/>
          <w:lang w:eastAsia="zh-CN"/>
        </w:rPr>
      </w:pPr>
      <w:r>
        <w:rPr>
          <w:rFonts w:hint="eastAsia" w:ascii="仿宋_GB2312" w:hAnsi="仿宋_GB2312" w:eastAsia="仿宋_GB2312" w:cs="仿宋_GB2312"/>
          <w:color w:val="auto"/>
          <w:sz w:val="30"/>
          <w:szCs w:val="30"/>
        </w:rPr>
        <w:br w:type="page"/>
      </w:r>
    </w:p>
    <w:p>
      <w:pPr>
        <w:pStyle w:val="2"/>
        <w:bidi w:val="0"/>
        <w:jc w:val="center"/>
        <w:rPr>
          <w:rFonts w:hint="eastAsia" w:ascii="黑体" w:hAnsi="黑体" w:eastAsia="黑体" w:cs="黑体"/>
          <w:sz w:val="32"/>
          <w:szCs w:val="32"/>
        </w:rPr>
      </w:pPr>
      <w:bookmarkStart w:id="5" w:name="_Toc505904223"/>
      <w:r>
        <w:rPr>
          <w:rFonts w:hint="eastAsia" w:ascii="黑体" w:hAnsi="黑体" w:eastAsia="黑体" w:cs="黑体"/>
          <w:sz w:val="32"/>
          <w:szCs w:val="32"/>
        </w:rPr>
        <w:t>互联互通中国存托凭证送股登记申请表</w:t>
      </w:r>
      <w:bookmarkEnd w:id="5"/>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特委托贵公司代理我公司办理以下送股登记业务，有关事项申请</w:t>
      </w:r>
      <w:r>
        <w:rPr>
          <w:rFonts w:hint="eastAsia" w:ascii="Times New Roman" w:hAnsi="Times New Roman" w:eastAsia="宋体" w:cs="Times New Roman"/>
          <w:sz w:val="24"/>
          <w:szCs w:val="24"/>
        </w:rPr>
        <w:t>如下：</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309"/>
        <w:gridCol w:w="2488"/>
        <w:gridCol w:w="2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公司全称</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代码</w:t>
            </w:r>
          </w:p>
        </w:tc>
        <w:tc>
          <w:tcPr>
            <w:tcW w:w="230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c>
          <w:tcPr>
            <w:tcW w:w="248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证券</w:t>
            </w:r>
            <w:r>
              <w:rPr>
                <w:rFonts w:hint="eastAsia" w:ascii="Times New Roman" w:hAnsi="Times New Roman" w:eastAsia="宋体" w:cs="Times New Roman"/>
                <w:sz w:val="24"/>
                <w:szCs w:val="24"/>
                <w:lang w:eastAsia="zh-CN"/>
              </w:rPr>
              <w:t>简称</w:t>
            </w:r>
          </w:p>
        </w:tc>
        <w:tc>
          <w:tcPr>
            <w:tcW w:w="229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派发年份</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权益次数</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权益登记日</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权益到账日</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权益分派方案</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4"/>
                <w:szCs w:val="24"/>
                <w:u w:val="none"/>
                <w:lang w:val="en-US" w:eastAsia="zh-CN"/>
              </w:rPr>
            </w:pPr>
            <w:r>
              <w:rPr>
                <w:rFonts w:hint="eastAsia" w:ascii="Times New Roman" w:hAnsi="Times New Roman" w:eastAsia="宋体" w:cs="Times New Roman"/>
                <w:sz w:val="24"/>
                <w:szCs w:val="24"/>
                <w:lang w:eastAsia="zh-CN"/>
              </w:rPr>
              <w:t>每</w:t>
            </w:r>
            <w:r>
              <w:rPr>
                <w:rFonts w:hint="eastAsia" w:ascii="Times New Roman" w:hAnsi="Times New Roman" w:eastAsia="宋体" w:cs="Times New Roman"/>
                <w:sz w:val="24"/>
                <w:szCs w:val="24"/>
                <w:lang w:val="en-US" w:eastAsia="zh-CN"/>
              </w:rPr>
              <w:t>10股</w:t>
            </w:r>
            <w:r>
              <w:rPr>
                <w:rFonts w:hint="eastAsia" w:ascii="Times New Roman" w:hAnsi="Times New Roman" w:eastAsia="宋体" w:cs="Times New Roman"/>
                <w:sz w:val="24"/>
                <w:szCs w:val="24"/>
                <w:lang w:eastAsia="zh-CN"/>
              </w:rPr>
              <w:t>送红股</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u w:val="none"/>
                <w:lang w:val="en-US" w:eastAsia="zh-CN"/>
              </w:rPr>
              <w:t>股；</w:t>
            </w:r>
          </w:p>
          <w:p>
            <w:pPr>
              <w:ind w:firstLine="0" w:firstLineChars="0"/>
              <w:rPr>
                <w:rFonts w:hint="eastAsia" w:ascii="Times New Roman" w:hAnsi="Times New Roman" w:eastAsia="宋体" w:cs="Times New Roman"/>
                <w:sz w:val="24"/>
                <w:szCs w:val="24"/>
                <w:u w:val="none"/>
                <w:lang w:val="en-US" w:eastAsia="zh-CN"/>
              </w:rPr>
            </w:pPr>
            <w:r>
              <w:rPr>
                <w:rFonts w:hint="eastAsia" w:ascii="Times New Roman" w:hAnsi="Times New Roman" w:eastAsia="宋体" w:cs="Times New Roman"/>
                <w:sz w:val="24"/>
                <w:szCs w:val="24"/>
              </w:rPr>
              <w:t>每</w:t>
            </w:r>
            <w:r>
              <w:rPr>
                <w:rFonts w:ascii="Times New Roman" w:hAnsi="Times New Roman" w:eastAsia="宋体" w:cs="Times New Roman"/>
                <w:sz w:val="24"/>
                <w:szCs w:val="24"/>
              </w:rPr>
              <w:t>10</w:t>
            </w:r>
            <w:r>
              <w:rPr>
                <w:rFonts w:hint="eastAsia" w:ascii="Times New Roman" w:hAnsi="Times New Roman" w:eastAsia="宋体" w:cs="Times New Roman"/>
                <w:sz w:val="24"/>
                <w:szCs w:val="24"/>
              </w:rPr>
              <w:t>股转增</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股</w:t>
            </w:r>
            <w:r>
              <w:rPr>
                <w:rFonts w:hint="eastAsia" w:ascii="Times New Roman" w:hAnsi="Times New Roman" w:eastAsia="宋体" w:cs="Times New Roman"/>
                <w:sz w:val="24"/>
                <w:szCs w:val="24"/>
                <w:lang w:eastAsia="zh-CN"/>
              </w:rPr>
              <w:t>（其中需扣税</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lang w:eastAsia="zh-CN"/>
              </w:rPr>
              <w:t>股，不需扣税</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lang w:val="en-US" w:eastAsia="zh-CN"/>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税款补缴情况</w:t>
            </w:r>
          </w:p>
          <w:p>
            <w:pPr>
              <w:ind w:firstLine="0" w:firstLineChars="0"/>
              <w:rPr>
                <w:rFonts w:ascii="Times New Roman" w:hAnsi="Times New Roman" w:eastAsia="宋体" w:cs="Times New Roman"/>
                <w:sz w:val="24"/>
                <w:szCs w:val="24"/>
              </w:rPr>
            </w:pP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（一）</w:t>
            </w:r>
            <w:r>
              <w:rPr>
                <w:rFonts w:hint="eastAsia" w:ascii="Times New Roman" w:hAnsi="Times New Roman" w:eastAsia="宋体" w:cs="Times New Roman"/>
                <w:sz w:val="24"/>
                <w:szCs w:val="24"/>
              </w:rPr>
              <w:t>合格境外机构投资者（QFII、RQFII）、境外战略投资者、以及持有首发前限售股的个人和证券投资基金扣税</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元</w:t>
            </w:r>
            <w:r>
              <w:rPr>
                <w:rFonts w:hint="eastAsia" w:ascii="Times New Roman" w:hAnsi="Times New Roman" w:eastAsia="宋体" w:cs="Times New Roman"/>
                <w:sz w:val="24"/>
                <w:szCs w:val="24"/>
                <w:lang w:eastAsia="zh-CN"/>
              </w:rPr>
              <w:t>。</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（二）</w:t>
            </w:r>
            <w:r>
              <w:rPr>
                <w:rFonts w:hint="eastAsia" w:ascii="Times New Roman" w:hAnsi="Times New Roman" w:eastAsia="宋体" w:cs="Times New Roman"/>
                <w:sz w:val="24"/>
                <w:szCs w:val="24"/>
              </w:rPr>
              <w:t>持有非首发前限售股、无限售流通股的个人和证券投资基金，待投资者减持股票时，再按实际持股期限补缴税款</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持股1个月（含1个月）以内，每10股补缴税款</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元（实际应补缴税率20%）；持股1个月以上至1年（含1年）的，每10股补缴税款</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hint="eastAsia" w:ascii="Times New Roman" w:hAnsi="Times New Roman" w:eastAsia="宋体" w:cs="Times New Roman"/>
                <w:sz w:val="24"/>
                <w:szCs w:val="24"/>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经办人（签字）：</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电话：</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传真：</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手机：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申请人名称及公章：</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年月日</w:t>
            </w:r>
          </w:p>
        </w:tc>
      </w:tr>
    </w:tbl>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以下由中国证券登记结算有限责任公司深圳分公司填写：</w:t>
      </w:r>
    </w:p>
    <w:p>
      <w:pPr>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受理情况</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eastAsia="zh-CN"/>
        </w:rPr>
        <w:t>已受理</w:t>
      </w:r>
      <w:r>
        <w:rPr>
          <w:rFonts w:hint="eastAsia" w:ascii="Times New Roman" w:hAnsi="Times New Roman" w:eastAsia="宋体" w:cs="Times New Roman"/>
          <w:sz w:val="24"/>
          <w:szCs w:val="24"/>
        </w:rPr>
        <w:t>权益分派</w:t>
      </w:r>
      <w:r>
        <w:rPr>
          <w:rFonts w:hint="eastAsia" w:ascii="Times New Roman" w:hAnsi="Times New Roman" w:eastAsia="宋体" w:cs="Times New Roman"/>
          <w:sz w:val="24"/>
          <w:szCs w:val="24"/>
          <w:lang w:eastAsia="zh-CN"/>
        </w:rPr>
        <w:t>委托</w:t>
      </w:r>
      <w:r>
        <w:rPr>
          <w:rFonts w:hint="eastAsia" w:ascii="Times New Roman" w:hAnsi="Times New Roman" w:eastAsia="宋体" w:cs="Times New Roman"/>
          <w:sz w:val="24"/>
          <w:szCs w:val="24"/>
        </w:rPr>
        <w:t>申请</w:t>
      </w:r>
      <w:r>
        <w:rPr>
          <w:rFonts w:hint="eastAsia" w:ascii="Times New Roman" w:hAnsi="Times New Roman" w:eastAsia="宋体" w:cs="Times New Roman"/>
          <w:sz w:val="24"/>
          <w:szCs w:val="24"/>
          <w:lang w:eastAsia="zh-CN"/>
        </w:rPr>
        <w:t>，请关注后续业务进展</w:t>
      </w:r>
      <w:r>
        <w:rPr>
          <w:rFonts w:hint="eastAsia" w:ascii="Times New Roman" w:hAnsi="Times New Roman" w:eastAsia="宋体" w:cs="Times New Roman"/>
          <w:sz w:val="24"/>
          <w:szCs w:val="24"/>
        </w:rPr>
        <w:t>。</w:t>
      </w:r>
    </w:p>
    <w:p>
      <w:pPr>
        <w:ind w:firstLine="0" w:firstLineChars="0"/>
        <w:rPr>
          <w:rFonts w:hint="default" w:ascii="FangSong_GB2312" w:hAnsi="FangSong_GB2312" w:eastAsia="FangSong_GB2312"/>
          <w:color w:val="000000"/>
          <w:sz w:val="40"/>
          <w:szCs w:val="24"/>
          <w:highlight w:val="none"/>
        </w:rPr>
      </w:pPr>
      <w:r>
        <w:rPr>
          <w:rFonts w:hint="eastAsia" w:ascii="Times New Roman" w:hAnsi="Times New Roman" w:eastAsia="宋体" w:cs="Times New Roman"/>
          <w:sz w:val="24"/>
          <w:szCs w:val="24"/>
        </w:rPr>
        <w:t>经办人：</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盖章：</w:t>
      </w:r>
    </w:p>
    <w:sectPr>
      <w:footerReference r:id="rId3" w:type="default"/>
      <w:pgSz w:w="11906" w:h="17338"/>
      <w:pgMar w:top="1440" w:right="1701" w:bottom="1440" w:left="1701" w:header="720" w:footer="720" w:gutter="0"/>
      <w:lnNumType w:countBy="0" w:distance="36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FangSong_GB2312">
    <w:panose1 w:val="02010609030101010101"/>
    <w:charset w:val="86"/>
    <w:family w:val="swiss"/>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027FF7"/>
    <w:multiLevelType w:val="singleLevel"/>
    <w:tmpl w:val="94027FF7"/>
    <w:lvl w:ilvl="0" w:tentative="0">
      <w:start w:val="1"/>
      <w:numFmt w:val="chineseCounting"/>
      <w:suff w:val="nothing"/>
      <w:lvlText w:val="%1、"/>
      <w:lvlJc w:val="left"/>
      <w:rPr>
        <w:rFonts w:hint="eastAsia"/>
      </w:rPr>
    </w:lvl>
  </w:abstractNum>
  <w:abstractNum w:abstractNumId="1">
    <w:nsid w:val="EF8D4ED8"/>
    <w:multiLevelType w:val="singleLevel"/>
    <w:tmpl w:val="EF8D4ED8"/>
    <w:lvl w:ilvl="0" w:tentative="0">
      <w:start w:val="1"/>
      <w:numFmt w:val="chineseCounting"/>
      <w:suff w:val="nothing"/>
      <w:lvlText w:val="%1、"/>
      <w:lvlJc w:val="left"/>
      <w:rPr>
        <w:rFonts w:hint="eastAsia"/>
      </w:rPr>
    </w:lvl>
  </w:abstractNum>
  <w:abstractNum w:abstractNumId="2">
    <w:nsid w:val="6EF15F6A"/>
    <w:multiLevelType w:val="multilevel"/>
    <w:tmpl w:val="6EF15F6A"/>
    <w:lvl w:ilvl="0" w:tentative="0">
      <w:start w:val="1"/>
      <w:numFmt w:val="chineseCountingThousand"/>
      <w:pStyle w:val="7"/>
      <w:suff w:val="nothing"/>
      <w:lvlText w:val="表%1："/>
      <w:lvlJc w:val="left"/>
      <w:pPr>
        <w:ind w:left="420" w:hanging="420"/>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75975EA"/>
    <w:rsid w:val="088E472F"/>
    <w:rsid w:val="14C74572"/>
    <w:rsid w:val="1B472A7D"/>
    <w:rsid w:val="33993978"/>
    <w:rsid w:val="3C031641"/>
    <w:rsid w:val="40A554C4"/>
    <w:rsid w:val="56C32E84"/>
    <w:rsid w:val="5F8BA74D"/>
    <w:rsid w:val="74926673"/>
    <w:rsid w:val="7EFE53A1"/>
    <w:rsid w:val="7F3F3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unhideWhenUsed/>
    <w:qFormat/>
    <w:uiPriority w:val="99"/>
    <w:pPr>
      <w:tabs>
        <w:tab w:val="center" w:pos="4153"/>
        <w:tab w:val="right" w:pos="8306"/>
      </w:tabs>
      <w:snapToGrid w:val="0"/>
      <w:jc w:val="left"/>
    </w:pPr>
    <w:rPr>
      <w:rFonts w:ascii="Calibri" w:hAnsi="Calibri"/>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iPriority w:val="0"/>
  </w:style>
  <w:style w:type="paragraph" w:styleId="7">
    <w:name w:val="Title"/>
    <w:basedOn w:val="1"/>
    <w:qFormat/>
    <w:uiPriority w:val="0"/>
    <w:pPr>
      <w:numPr>
        <w:ilvl w:val="0"/>
        <w:numId w:val="1"/>
      </w:numPr>
      <w:spacing w:after="60"/>
      <w:jc w:val="left"/>
      <w:outlineLvl w:val="0"/>
    </w:pPr>
    <w:rPr>
      <w:rFonts w:ascii="Arial" w:hAnsi="Arial"/>
      <w:b/>
      <w:bCs/>
      <w:kern w:val="0"/>
      <w:sz w:val="24"/>
      <w:szCs w:val="32"/>
    </w:rPr>
  </w:style>
  <w:style w:type="paragraph" w:customStyle="1" w:styleId="10">
    <w:name w:val="Default"/>
    <w:unhideWhenUsed/>
    <w:qFormat/>
    <w:uiPriority w:val="99"/>
    <w:pPr>
      <w:widowControl w:val="0"/>
      <w:autoSpaceDE w:val="0"/>
      <w:autoSpaceDN w:val="0"/>
      <w:adjustRightInd w:val="0"/>
      <w:spacing w:beforeLines="0" w:afterLines="0"/>
    </w:pPr>
    <w:rPr>
      <w:rFonts w:hint="default" w:ascii="FangSong_GB2312" w:hAnsi="FangSong_GB2312" w:eastAsia="FangSong_GB2312" w:cstheme="minorBidi"/>
      <w:color w:val="000000"/>
      <w:sz w:val="24"/>
      <w:szCs w:val="24"/>
    </w:rPr>
  </w:style>
  <w:style w:type="paragraph" w:customStyle="1" w:styleId="1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2022-06-02T13:58:00Z</dcterms:created>
  <dc:creator>谢佳斌/业务发展部/深圳分公司/ChinaClear</dc:creator>
  <cp:lastModifiedBy>jlye</cp:lastModifiedBy>
  <cp:lastPrinted>2022-06-07T15:05:00Z</cp:lastPrinted>
  <dcterms:modified xsi:type="dcterms:W3CDTF">2025-03-20T10:20:03Z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E58869AD63E440D682AF6C1A73A64793</vt:lpwstr>
  </property>
</Properties>
</file>